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jc w:val="center"/>
        <w:rPr>
          <w:rFonts w:hint="eastAsia" w:eastAsia="黑体" w:cs="Times New Roman"/>
          <w:bCs/>
          <w:sz w:val="44"/>
          <w:szCs w:val="44"/>
          <w:lang w:eastAsia="zh-CN"/>
        </w:rPr>
      </w:pPr>
      <w:r>
        <w:rPr>
          <w:rFonts w:hint="default" w:ascii="Times New Roman" w:hAnsi="Times New Roman" w:eastAsia="黑体" w:cs="Times New Roman"/>
          <w:bCs/>
          <w:sz w:val="44"/>
          <w:szCs w:val="44"/>
        </w:rPr>
        <w:t>关于</w:t>
      </w:r>
      <w:r>
        <w:rPr>
          <w:rFonts w:hint="default" w:ascii="Times New Roman" w:hAnsi="Times New Roman" w:eastAsia="黑体" w:cs="Times New Roman"/>
          <w:bCs/>
          <w:sz w:val="44"/>
          <w:szCs w:val="44"/>
          <w:lang w:eastAsia="zh-CN"/>
        </w:rPr>
        <w:t>对</w:t>
      </w:r>
      <w:r>
        <w:rPr>
          <w:rFonts w:hint="default" w:ascii="Times New Roman" w:hAnsi="Times New Roman" w:eastAsia="黑体" w:cs="Times New Roman"/>
          <w:bCs/>
          <w:sz w:val="44"/>
          <w:szCs w:val="44"/>
        </w:rPr>
        <w:t>观典防务技术股份有限公司、实际控制人暨时任董事长兼总经理高明</w:t>
      </w:r>
      <w:r>
        <w:rPr>
          <w:rFonts w:hint="default" w:ascii="Times New Roman" w:hAnsi="Times New Roman" w:eastAsia="黑体" w:cs="Times New Roman"/>
          <w:bCs/>
          <w:sz w:val="44"/>
          <w:szCs w:val="44"/>
          <w:lang w:eastAsia="zh-CN"/>
        </w:rPr>
        <w:t>及</w:t>
      </w:r>
      <w:r>
        <w:rPr>
          <w:rFonts w:hint="eastAsia" w:eastAsia="黑体" w:cs="Times New Roman"/>
          <w:bCs/>
          <w:sz w:val="44"/>
          <w:szCs w:val="44"/>
          <w:lang w:eastAsia="zh-CN"/>
        </w:rPr>
        <w:t>有关责任人</w:t>
      </w:r>
    </w:p>
    <w:p>
      <w:pPr>
        <w:spacing w:line="560" w:lineRule="exact"/>
        <w:ind w:firstLine="0" w:firstLineChars="0"/>
        <w:jc w:val="center"/>
        <w:rPr>
          <w:rFonts w:hint="default" w:ascii="Times New Roman" w:hAnsi="Times New Roman" w:cs="Times New Roman"/>
        </w:rPr>
      </w:pPr>
      <w:r>
        <w:rPr>
          <w:rFonts w:hint="default" w:ascii="Times New Roman" w:hAnsi="Times New Roman" w:eastAsia="黑体" w:cs="Times New Roman"/>
          <w:bCs/>
          <w:sz w:val="44"/>
          <w:szCs w:val="44"/>
          <w:lang w:eastAsia="zh-CN"/>
        </w:rPr>
        <w:t>予以</w:t>
      </w:r>
      <w:r>
        <w:rPr>
          <w:rFonts w:hint="default" w:ascii="Times New Roman" w:hAnsi="Times New Roman" w:eastAsia="黑体" w:cs="Times New Roman"/>
          <w:bCs/>
          <w:sz w:val="44"/>
          <w:szCs w:val="44"/>
        </w:rPr>
        <w:t>纪律处分</w:t>
      </w:r>
      <w:r>
        <w:rPr>
          <w:rFonts w:hint="default" w:ascii="Times New Roman" w:hAnsi="Times New Roman" w:eastAsia="黑体" w:cs="Times New Roman"/>
          <w:bCs/>
          <w:sz w:val="44"/>
          <w:szCs w:val="44"/>
          <w:lang w:eastAsia="zh-CN"/>
        </w:rPr>
        <w:t>的</w:t>
      </w:r>
      <w:r>
        <w:rPr>
          <w:rFonts w:hint="default" w:ascii="Times New Roman" w:hAnsi="Times New Roman" w:eastAsia="黑体" w:cs="Times New Roman"/>
          <w:bCs/>
          <w:sz w:val="44"/>
          <w:szCs w:val="44"/>
        </w:rPr>
        <w:t>意向书</w:t>
      </w:r>
    </w:p>
    <w:p>
      <w:pPr>
        <w:snapToGrid w:val="0"/>
        <w:spacing w:line="560" w:lineRule="exact"/>
        <w:ind w:firstLine="0" w:firstLineChars="0"/>
        <w:jc w:val="both"/>
        <w:rPr>
          <w:rFonts w:hint="default" w:ascii="Times New Roman" w:hAnsi="Times New Roman" w:eastAsia="仿宋_GB2312" w:cs="Times New Roman"/>
          <w:sz w:val="30"/>
          <w:szCs w:val="30"/>
        </w:rPr>
      </w:pPr>
    </w:p>
    <w:p>
      <w:pPr>
        <w:numPr>
          <w:ilvl w:val="0"/>
          <w:numId w:val="0"/>
        </w:numPr>
        <w:snapToGrid w:val="0"/>
        <w:spacing w:line="560" w:lineRule="exact"/>
        <w:ind w:firstLine="0" w:firstLineChars="0"/>
        <w:jc w:val="both"/>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kern w:val="1"/>
          <w:sz w:val="30"/>
          <w:szCs w:val="30"/>
          <w:highlight w:val="none"/>
          <w:lang w:val="en-US" w:eastAsia="zh-CN" w:bidi="ar"/>
        </w:rPr>
        <w:t>观典防务技术股份有限公司，实际控制人暨时任董事长兼总经理高明，相关人员杜光琴</w:t>
      </w:r>
      <w:r>
        <w:rPr>
          <w:rFonts w:hint="default" w:ascii="Times New Roman" w:hAnsi="Times New Roman" w:eastAsia="仿宋_GB2312" w:cs="Times New Roman"/>
          <w:sz w:val="30"/>
          <w:szCs w:val="30"/>
          <w:highlight w:val="none"/>
          <w:lang w:eastAsia="zh-CN"/>
        </w:rPr>
        <w:t>：</w:t>
      </w:r>
    </w:p>
    <w:p>
      <w:pPr>
        <w:numPr>
          <w:ilvl w:val="0"/>
          <w:numId w:val="0"/>
        </w:numPr>
        <w:snapToGrid w:val="0"/>
        <w:spacing w:line="560" w:lineRule="exact"/>
        <w:ind w:firstLine="600" w:firstLineChars="200"/>
        <w:jc w:val="both"/>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根据中国证券监督管理委员会《行政处罚事先告知书》（处罚字〔2026〕43号，以下简称《事先告知书》）查明的事实，观典防务技术股份有限公司（以下简称公司）及实际控制人高明在规范运作、信息披露方面，有关责任人在职责履行方面，存在如下违规行为。</w:t>
      </w:r>
    </w:p>
    <w:p>
      <w:pPr>
        <w:numPr>
          <w:ilvl w:val="0"/>
          <w:numId w:val="0"/>
        </w:numPr>
        <w:snapToGrid w:val="0"/>
        <w:spacing w:line="560" w:lineRule="exact"/>
        <w:ind w:firstLine="600" w:firstLineChars="200"/>
        <w:jc w:val="both"/>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公司于2015年4月15日在全国中小企业股份转让系统（以下简称股转系统）挂牌。公司于2020年3月21日披露2019年年度报告，7月16日披露《向不特定合格投资者公开发行股票说明书》（以下简称《公开发行说明书》，报告期为2017年至2019年），7月27日在股转系统精选层挂牌，并发行股票3,959万股，募集资金54,198.71万元。公司于2021年11月10日披露《向上海证券交易所科创板转板上市报告书》（以下简称《转板上市报告书》）申报稿，2022年5月24日披露《转板上市报告书》（报告期为2019年至2021年）。2022年5月25日，公司从北京证券交易所转板上海证券交易所（以下简称本所）科创板上市。</w:t>
      </w:r>
    </w:p>
    <w:p>
      <w:pPr>
        <w:keepNext w:val="0"/>
        <w:keepLines w:val="0"/>
        <w:widowControl w:val="0"/>
        <w:suppressLineNumbers w:val="0"/>
        <w:suppressAutoHyphens/>
        <w:snapToGrid w:val="0"/>
        <w:spacing w:before="0" w:beforeAutospacing="0" w:after="0" w:afterAutospacing="0" w:line="560" w:lineRule="exact"/>
        <w:ind w:left="0" w:right="0" w:firstLine="600" w:firstLineChars="200"/>
        <w:jc w:val="both"/>
        <w:rPr>
          <w:rFonts w:hint="default" w:ascii="Times New Roman" w:hAnsi="Times New Roman" w:eastAsia="仿宋_GB2312" w:cs="Times New Roman"/>
          <w:kern w:val="1"/>
          <w:sz w:val="30"/>
          <w:szCs w:val="30"/>
        </w:rPr>
      </w:pPr>
      <w:r>
        <w:rPr>
          <w:rFonts w:hint="default" w:ascii="Times New Roman" w:hAnsi="Times New Roman" w:eastAsia="仿宋_GB2312" w:cs="Times New Roman"/>
          <w:sz w:val="30"/>
          <w:szCs w:val="30"/>
          <w:lang w:eastAsia="zh-CN"/>
        </w:rPr>
        <w:t>2019年至2024年，公司以虚构业务合同、变造银行回单等方式虚构与多家客户的销售业务。上述虚假业务导致公司2019年至2024年分别虚增营业收入12,801.16万元、13,151.59万元、12,967.91万元、10,783.01万元、7,842.95万元、480.06万元，占各期披露营业收入的87.73%、73.16%、56.42%、37.05%、36.98%、5.33%；分别虚增利润总额6,353.72万元、6,737.90万元、7,403.46万元、5,242.73万元、3,323.29万元、1.48万元，占各期披露利润总额的132.58%、108.66%、89.03%、55.51%、159.96%、0.01%。公司2019年至2024年年度报告及《公开发行说明书》《转板上市报告书》存在虚假记载</w:t>
      </w:r>
      <w:r>
        <w:rPr>
          <w:rFonts w:hint="default" w:ascii="Times New Roman" w:hAnsi="Times New Roman" w:eastAsia="仿宋_GB2312" w:cs="Times New Roman"/>
          <w:kern w:val="1"/>
          <w:sz w:val="30"/>
          <w:szCs w:val="30"/>
          <w:lang w:val="en-US" w:eastAsia="zh-CN" w:bidi="ar"/>
        </w:rPr>
        <w:t>。</w:t>
      </w:r>
    </w:p>
    <w:p>
      <w:pPr>
        <w:keepNext w:val="0"/>
        <w:keepLines w:val="0"/>
        <w:widowControl w:val="0"/>
        <w:suppressLineNumbers w:val="0"/>
        <w:suppressAutoHyphens/>
        <w:snapToGrid w:val="0"/>
        <w:spacing w:before="0" w:beforeAutospacing="0" w:after="0" w:afterAutospacing="0" w:line="560" w:lineRule="exact"/>
        <w:ind w:left="0" w:right="0" w:firstLine="600" w:firstLineChars="200"/>
        <w:jc w:val="both"/>
        <w:rPr>
          <w:rFonts w:hint="default" w:ascii="Times New Roman" w:hAnsi="Times New Roman" w:eastAsia="仿宋_GB2312" w:cs="Times New Roman"/>
          <w:kern w:val="1"/>
          <w:sz w:val="30"/>
          <w:szCs w:val="30"/>
        </w:rPr>
      </w:pPr>
      <w:r>
        <w:rPr>
          <w:rFonts w:hint="default" w:ascii="Times New Roman" w:hAnsi="Times New Roman" w:eastAsia="仿宋_GB2312" w:cs="Times New Roman"/>
          <w:kern w:val="1"/>
          <w:sz w:val="30"/>
          <w:szCs w:val="30"/>
          <w:lang w:val="en-US" w:eastAsia="zh-CN" w:bidi="ar"/>
        </w:rPr>
        <w:t>综上，公司上述行为违反了《中华人民共和国证券法》（以下简称《证券法》）第七十八条第二款，《全国中小企业股份转让系统挂牌公司向上海证券交易所科创板转板上市办法（试行）》（以下简称《转板办法》）第五条，《上海证券交易所科创板股票上市规则（2020年12月修订）》（以下简称《科创板股票上市规则（2020年12月修订）》）第1.4条、第5.1.2条、第5.1.3条，《上海证券交易所科创板股票上市规则（2023年8月修订）》（以下简称《科创板股票上市规则（2023年8月修订）》）第1.4条、第5.1.2条、第5.1.3条，《上海证券交易所科创板股票上市规则（2024年4月修订）》（以下简称《科创板股票上市规则（2024年4月修订）》）第1.4条、第5.1.2条、第5.1.3条，《上海证券交易所科创板股票上市规则（2025年4月修订）》（以下简称《科创板股票上市规则（2025年4月修订）》）第1.4条、第5.1.2条、第5.1.3条等有关规定。</w:t>
      </w:r>
    </w:p>
    <w:p>
      <w:pPr>
        <w:snapToGrid w:val="0"/>
        <w:spacing w:line="560" w:lineRule="exact"/>
        <w:ind w:firstLine="600"/>
        <w:jc w:val="both"/>
        <w:rPr>
          <w:rFonts w:hint="default" w:ascii="Times New Roman" w:hAnsi="Times New Roman" w:eastAsia="仿宋_GB2312" w:cs="Times New Roman"/>
          <w:sz w:val="30"/>
          <w:szCs w:val="30"/>
          <w:shd w:val="clear" w:color="auto" w:fill="auto"/>
          <w:lang w:eastAsia="zh-CN"/>
        </w:rPr>
      </w:pPr>
      <w:r>
        <w:rPr>
          <w:rFonts w:hint="default" w:ascii="Times New Roman" w:hAnsi="Times New Roman" w:eastAsia="仿宋_GB2312" w:cs="Times New Roman"/>
          <w:sz w:val="30"/>
          <w:szCs w:val="30"/>
          <w:shd w:val="clear" w:color="auto" w:fill="auto"/>
          <w:lang w:eastAsia="zh-CN"/>
        </w:rPr>
        <w:t>根据《事先告知书》认定，高明，公司实际控制人、控股股东，2014年9月至2025年8月任公司董事长，2014年9月至2024年5月任公司总经理。高明作为公司实际控制人，组织指使上述违法行为，安排使用多个银行账户划转涉案资金，用于客户虚假回款，导致公司2019年至2024年年度报告及《公开发行说明书》《转板上市报告书》存在虚假记载；同时，高明涉案期间全面负责公司经营管理，组织、安排公司实施财务造假行为。高明在公司2019年至2024年年度报告及《公开发行说明书》《转板上市报告书》中签字保证所披露信息真实、准确、完整，是公司2019年至2024年年度报告及《公开发行说明书》《转板上市报告书》虚假记载的直接负责的主管人员。高明相关行为严重扰乱证券市场秩序，情节特别严重。</w:t>
      </w:r>
    </w:p>
    <w:p>
      <w:pPr>
        <w:keepNext w:val="0"/>
        <w:keepLines w:val="0"/>
        <w:widowControl w:val="0"/>
        <w:suppressLineNumbers w:val="0"/>
        <w:suppressAutoHyphens/>
        <w:autoSpaceDE w:val="0"/>
        <w:autoSpaceDN/>
        <w:snapToGrid w:val="0"/>
        <w:spacing w:before="0" w:beforeAutospacing="0" w:after="0" w:afterAutospacing="0" w:line="560" w:lineRule="exact"/>
        <w:ind w:left="0" w:right="0" w:firstLine="600" w:firstLineChars="200"/>
        <w:jc w:val="both"/>
        <w:rPr>
          <w:rFonts w:hint="default" w:ascii="Times New Roman" w:hAnsi="Times New Roman" w:eastAsia="仿宋_GB2312" w:cs="Times New Roman"/>
          <w:kern w:val="1"/>
          <w:sz w:val="30"/>
          <w:szCs w:val="30"/>
        </w:rPr>
      </w:pPr>
      <w:r>
        <w:rPr>
          <w:rFonts w:hint="default" w:ascii="Times New Roman" w:hAnsi="Times New Roman" w:eastAsia="仿宋_GB2312" w:cs="Times New Roman"/>
          <w:kern w:val="1"/>
          <w:sz w:val="30"/>
          <w:szCs w:val="30"/>
          <w:lang w:val="en-US" w:eastAsia="zh-CN" w:bidi="ar"/>
        </w:rPr>
        <w:t>杜光琴，涉案期间直接分管公司资金和公章管理工作，负责管理部分与公司存在虚假业务的供应商公章，组织涉案资金流转，实际履行董监高职责，与公司2019年至2024年年度报告及《公开发行说明书》《转板上市报告书》虚假记载存在直接关联，是公司2019年至2024年年度报告及《公开发行说明书》《转板上市报告书》虚假记载的其他直接责任人员。杜光琴具体安排资金空转形成销售回款，虚增收入，在重大违法活动中起主要作用，情节较为严重。</w:t>
      </w:r>
    </w:p>
    <w:p>
      <w:pPr>
        <w:numPr>
          <w:ilvl w:val="0"/>
          <w:numId w:val="0"/>
        </w:numPr>
        <w:snapToGrid w:val="0"/>
        <w:spacing w:line="560" w:lineRule="exact"/>
        <w:ind w:firstLine="600" w:firstLineChars="200"/>
        <w:jc w:val="both"/>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shd w:val="clear" w:color="auto" w:fill="auto"/>
          <w:lang w:eastAsia="zh-CN"/>
        </w:rPr>
        <w:t>上述人员相应违反了《转板办法》第六条，《科创板股票上市规则（2020年12月修订）》第1.4条、第4.1.1条、第4.2.1条、第4.2.4条、第4.2.5条、第5.1.2条，《科创板股票上市规则（2023年8月修订）》第1.4条、第4.1.1条、第4.2.1条、第4.2.4条、第4.2.5条、第5.1.2条，《科创板股票上市规则（2024年4月修订）》第1.4条、第4.1.1条、第4.2.1条、第4.2.4条、第4.2.5条、第5.1.2条，《科创板股票上市规则（2025年4月修订）》第1.4条、第4.1.1条、第4.2.1条、第4.2.4条、第4.2.5条、第5.1.2条等有关规定及其在《董事（监事、高级管理人员）声明及承诺书》中作出的承诺。</w:t>
      </w:r>
    </w:p>
    <w:p>
      <w:pPr>
        <w:numPr>
          <w:ilvl w:val="0"/>
          <w:numId w:val="0"/>
        </w:numPr>
        <w:snapToGrid w:val="0"/>
        <w:spacing w:line="560" w:lineRule="exact"/>
        <w:ind w:firstLine="600" w:firstLineChars="200"/>
        <w:jc w:val="both"/>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lang w:eastAsia="zh-CN"/>
        </w:rPr>
        <w:t>鉴于上述违规事实和情节，我部拟提请本所自律监管纪律处分委员会审核，根据《转板办法》第三十七条、第三十九条，《上海证券交易所科创板股票发行上市审核规则（2020年修订）》第七十五条、第七十六条，《科创板股票上市规则（2020年12月修订）》第14.2.1条、第14.2.3条、第14.2.4条、第14.2.5条，《科创板股票上市规则（2023年8月修订）》第14.2.1条、第14.2.3条、第14.2.4条、第14.2.5条，《科创板股票上市规则（2024年4月修订）》第14.2.1条、第14.2.3条、第14.2.4条、第14.2.5条，《科创板股票上市规则（2025年4月修订）》第14.2.1条、第14.2.3条、第14.2.4条、第14.2.5条和《上海证券交易所纪律处分和监管措施实施办法》《上海证券交易所上市公司自律监管指引第10号——纪律处分实施标准》等有关规定，对观典防务技术股份有限公司，实际控制人暨时任董事长兼总经理高明，相关人员杜光琴予以公开谴责；公开认定高明终身不适合担任上市公司董事、高级管理人员，杜光琴八年不适合担任上市公司董事、高级管理人员；五年内不接受观典防务技术股份有限公司提交的发行上市申请文件，五年内不接受高明控制的其他发行人提交的发行上市申请文件。</w:t>
      </w:r>
    </w:p>
    <w:p>
      <w:pPr>
        <w:adjustRightInd w:val="0"/>
        <w:snapToGrid w:val="0"/>
        <w:spacing w:line="560" w:lineRule="exact"/>
        <w:ind w:firstLine="600"/>
        <w:jc w:val="both"/>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highlight w:val="none"/>
          <w:lang w:eastAsia="zh-CN"/>
        </w:rPr>
        <w:t>上述纪律处分作出后，将通报中国证监会和北京市地方金融管理局，并记入证券期货市场诚信档案数据库。</w:t>
      </w:r>
    </w:p>
    <w:p>
      <w:pPr>
        <w:adjustRightInd w:val="0"/>
        <w:snapToGrid w:val="0"/>
        <w:spacing w:line="560" w:lineRule="exact"/>
        <w:ind w:firstLine="600"/>
        <w:jc w:val="both"/>
        <w:rPr>
          <w:rFonts w:hint="default" w:ascii="Times New Roman" w:hAnsi="Times New Roman" w:eastAsia="仿宋_GB2312" w:cs="Times New Roman"/>
          <w:sz w:val="30"/>
          <w:szCs w:val="30"/>
        </w:rPr>
      </w:pPr>
    </w:p>
    <w:p>
      <w:pPr>
        <w:snapToGrid w:val="0"/>
        <w:spacing w:line="560" w:lineRule="exact"/>
        <w:ind w:right="2" w:rightChars="1" w:firstLine="600"/>
        <w:jc w:val="right"/>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上海证券交易所上市公司管理二部</w:t>
      </w:r>
    </w:p>
    <w:p>
      <w:pPr>
        <w:wordWrap/>
        <w:snapToGrid w:val="0"/>
        <w:spacing w:line="560" w:lineRule="exact"/>
        <w:ind w:right="2" w:rightChars="1" w:firstLine="600"/>
        <w:jc w:val="right"/>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 xml:space="preserve">   </w:t>
      </w:r>
      <w:r>
        <w:rPr>
          <w:rFonts w:hint="default" w:ascii="Times New Roman" w:hAnsi="Times New Roman" w:eastAsia="仿宋_GB2312" w:cs="Times New Roman"/>
          <w:sz w:val="30"/>
          <w:szCs w:val="30"/>
          <w:lang w:eastAsia="zh-CN"/>
        </w:rPr>
        <w:t>二〇二六年十月</w:t>
      </w:r>
      <w:r>
        <w:rPr>
          <w:rFonts w:hint="eastAsia" w:eastAsia="仿宋_GB2312" w:cs="Times New Roman"/>
          <w:sz w:val="30"/>
          <w:szCs w:val="30"/>
          <w:lang w:val="en-US" w:eastAsia="zh-CN"/>
        </w:rPr>
        <w:t>十九</w:t>
      </w:r>
      <w:bookmarkStart w:id="0" w:name="_GoBack"/>
      <w:bookmarkEnd w:id="0"/>
      <w:r>
        <w:rPr>
          <w:rFonts w:hint="default" w:ascii="Times New Roman" w:hAnsi="Times New Roman" w:eastAsia="仿宋_GB2312" w:cs="Times New Roman"/>
          <w:sz w:val="30"/>
          <w:szCs w:val="30"/>
          <w:lang w:eastAsia="zh-CN"/>
        </w:rPr>
        <w:t>日</w:t>
      </w:r>
      <w:r>
        <w:rPr>
          <w:rFonts w:hint="default" w:ascii="Times New Roman" w:hAnsi="Times New Roman" w:eastAsia="仿宋_GB2312" w:cs="Times New Roman"/>
          <w:sz w:val="30"/>
          <w:szCs w:val="30"/>
          <w:lang w:val="en-US" w:eastAsia="zh-CN"/>
        </w:rPr>
        <w:t xml:space="preserve">  </w:t>
      </w:r>
    </w:p>
    <w:p>
      <w:pPr>
        <w:widowControl/>
        <w:spacing w:line="560" w:lineRule="exact"/>
        <w:ind w:firstLine="0"/>
        <w:jc w:val="left"/>
        <w:rPr>
          <w:rFonts w:ascii="Times New Roman" w:hAnsi="Times New Roman" w:cs="Times New Roman"/>
        </w:rPr>
      </w:pPr>
    </w:p>
    <w:sectPr>
      <w:footerReference r:id="rId3" w:type="default"/>
      <w:pgSz w:w="11906" w:h="16838"/>
      <w:pgMar w:top="1440" w:right="1548" w:bottom="1440" w:left="1548" w:header="720" w:footer="992" w:gutter="0"/>
      <w:cols w:space="720" w:num="1"/>
      <w:docGrid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pPr>
    <w:r>
      <w:pict>
        <v:shape id="_x0000_s4097" o:spid="_x0000_s4097" o:spt="202" type="#_x0000_t202" style="position:absolute;left:0pt;margin-left:513.35pt;margin-top:0.05pt;height:9.9pt;width:4.5pt;mso-position-horizontal-relative:page;mso-wrap-distance-bottom:0pt;mso-wrap-distance-left:0pt;mso-wrap-distance-right:0pt;mso-wrap-distance-top:0pt;z-index:251659264;mso-width-relative:page;mso-height-relative:page;" stroked="f" coordsize="21600,21600">
          <v:path/>
          <v:fill color2="#000000" opacity="0f" focussize="0,0"/>
          <v:stroke on="f" joinstyle="miter"/>
          <v:imagedata o:title=""/>
          <o:lock v:ext="edit"/>
          <v:textbox inset="0mm,0mm,0mm,0mm">
            <w:txbxContent>
              <w:p>
                <w:pPr>
                  <w:pStyle w:val="5"/>
                </w:pPr>
                <w:r>
                  <w:rPr>
                    <w:rStyle w:val="10"/>
                  </w:rPr>
                  <w:fldChar w:fldCharType="begin"/>
                </w:r>
                <w:r>
                  <w:rPr>
                    <w:rStyle w:val="10"/>
                  </w:rPr>
                  <w:instrText xml:space="preserve"> PAGE </w:instrText>
                </w:r>
                <w:r>
                  <w:rPr>
                    <w:rStyle w:val="10"/>
                  </w:rPr>
                  <w:fldChar w:fldCharType="separate"/>
                </w:r>
                <w:r>
                  <w:rPr>
                    <w:rStyle w:val="10"/>
                  </w:rPr>
                  <w:t>1</w:t>
                </w:r>
                <w:r>
                  <w:rPr>
                    <w:rStyle w:val="10"/>
                  </w:rPr>
                  <w:fldChar w:fldCharType="end"/>
                </w:r>
              </w:p>
            </w:txbxContent>
          </v:textbox>
          <w10:wrap type="square" side="largest"/>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083548"/>
    <w:rsid w:val="0002686E"/>
    <w:rsid w:val="000324DB"/>
    <w:rsid w:val="00083548"/>
    <w:rsid w:val="000972CD"/>
    <w:rsid w:val="000D32F7"/>
    <w:rsid w:val="000D7466"/>
    <w:rsid w:val="0016116B"/>
    <w:rsid w:val="00220B03"/>
    <w:rsid w:val="00312F15"/>
    <w:rsid w:val="00321955"/>
    <w:rsid w:val="003C26E9"/>
    <w:rsid w:val="00404D19"/>
    <w:rsid w:val="004F37F2"/>
    <w:rsid w:val="005104D4"/>
    <w:rsid w:val="0059188C"/>
    <w:rsid w:val="005B5A4E"/>
    <w:rsid w:val="005B7728"/>
    <w:rsid w:val="00810739"/>
    <w:rsid w:val="00853659"/>
    <w:rsid w:val="00B37CAB"/>
    <w:rsid w:val="00D867DC"/>
    <w:rsid w:val="00EA4160"/>
    <w:rsid w:val="00F673C5"/>
    <w:rsid w:val="07DBD9F6"/>
    <w:rsid w:val="07F3D2C9"/>
    <w:rsid w:val="1B4DEF22"/>
    <w:rsid w:val="24611DF9"/>
    <w:rsid w:val="2ED7B85F"/>
    <w:rsid w:val="3BD52320"/>
    <w:rsid w:val="3BFCF1D5"/>
    <w:rsid w:val="3D7ECF76"/>
    <w:rsid w:val="3FAE7757"/>
    <w:rsid w:val="3FB93F46"/>
    <w:rsid w:val="45F9E3C7"/>
    <w:rsid w:val="494F4124"/>
    <w:rsid w:val="518F893C"/>
    <w:rsid w:val="5631B1F5"/>
    <w:rsid w:val="57D6B4F3"/>
    <w:rsid w:val="5AFE966B"/>
    <w:rsid w:val="5E7FDC0D"/>
    <w:rsid w:val="5EAFDA24"/>
    <w:rsid w:val="5FFF33F7"/>
    <w:rsid w:val="65475DE2"/>
    <w:rsid w:val="65FFE4CF"/>
    <w:rsid w:val="66FC2D11"/>
    <w:rsid w:val="67FF923C"/>
    <w:rsid w:val="6FBF24B7"/>
    <w:rsid w:val="7B7F9A9A"/>
    <w:rsid w:val="7D6E0F69"/>
    <w:rsid w:val="7D9BAC99"/>
    <w:rsid w:val="7DEF5323"/>
    <w:rsid w:val="7DF837E8"/>
    <w:rsid w:val="7E4EB179"/>
    <w:rsid w:val="7F5E4954"/>
    <w:rsid w:val="7FA78AF0"/>
    <w:rsid w:val="7FDB4A53"/>
    <w:rsid w:val="7FE6ADD9"/>
    <w:rsid w:val="7FFE4E11"/>
    <w:rsid w:val="7FFF5CD9"/>
    <w:rsid w:val="8A7B2A43"/>
    <w:rsid w:val="8CD33A77"/>
    <w:rsid w:val="9F8F3220"/>
    <w:rsid w:val="9FBCCC23"/>
    <w:rsid w:val="ABBD9F40"/>
    <w:rsid w:val="AFB73E5E"/>
    <w:rsid w:val="B1FFFC6A"/>
    <w:rsid w:val="B8EFCBAE"/>
    <w:rsid w:val="BDF62AFB"/>
    <w:rsid w:val="BF37691D"/>
    <w:rsid w:val="BFFD781F"/>
    <w:rsid w:val="BFFFFD84"/>
    <w:rsid w:val="C6CCC85B"/>
    <w:rsid w:val="D0EEA358"/>
    <w:rsid w:val="D2FCCBE8"/>
    <w:rsid w:val="D7BE677A"/>
    <w:rsid w:val="D7D11D22"/>
    <w:rsid w:val="D7EA4F33"/>
    <w:rsid w:val="DDBFBCC3"/>
    <w:rsid w:val="DDF99D2F"/>
    <w:rsid w:val="DDFFA30C"/>
    <w:rsid w:val="DECF2FF7"/>
    <w:rsid w:val="E254CFD7"/>
    <w:rsid w:val="ECF71D26"/>
    <w:rsid w:val="EF072F0C"/>
    <w:rsid w:val="EFBEADB8"/>
    <w:rsid w:val="F47F9442"/>
    <w:rsid w:val="F7FD53B8"/>
    <w:rsid w:val="FA9FD8C3"/>
    <w:rsid w:val="FAFDB63D"/>
    <w:rsid w:val="FBDBD098"/>
    <w:rsid w:val="FBEDFA0F"/>
    <w:rsid w:val="FBEF77D2"/>
    <w:rsid w:val="FD7D0BAF"/>
    <w:rsid w:val="FDDFB344"/>
    <w:rsid w:val="FFBE55B3"/>
    <w:rsid w:val="FFE767E9"/>
    <w:rsid w:val="FFFF92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Times New Roman" w:hAnsi="Times New Roman" w:eastAsia="宋体" w:cs="Times New Roman"/>
      <w:kern w:val="1"/>
      <w:sz w:val="21"/>
      <w:szCs w:val="24"/>
      <w:lang w:val="en-US" w:eastAsia="ar-SA"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suppressAutoHyphens/>
      <w:jc w:val="left"/>
    </w:pPr>
    <w:rPr>
      <w:rFonts w:asciiTheme="minorHAnsi" w:hAnsiTheme="minorHAnsi" w:eastAsiaTheme="minorEastAsia" w:cstheme="minorBidi"/>
      <w:kern w:val="2"/>
      <w:szCs w:val="22"/>
      <w:lang w:eastAsia="zh-CN"/>
    </w:rPr>
  </w:style>
  <w:style w:type="paragraph" w:styleId="3">
    <w:name w:val="Block Text"/>
    <w:basedOn w:val="1"/>
    <w:qFormat/>
    <w:uiPriority w:val="0"/>
    <w:pPr>
      <w:spacing w:line="360" w:lineRule="auto"/>
      <w:ind w:left="840" w:right="840"/>
      <w:jc w:val="center"/>
    </w:pPr>
    <w:rPr>
      <w:sz w:val="36"/>
    </w:rPr>
  </w:style>
  <w:style w:type="paragraph" w:styleId="4">
    <w:name w:val="Balloon Text"/>
    <w:basedOn w:val="1"/>
    <w:link w:val="15"/>
    <w:semiHidden/>
    <w:unhideWhenUsed/>
    <w:qFormat/>
    <w:uiPriority w:val="99"/>
    <w:pPr>
      <w:suppressAutoHyphens/>
    </w:pPr>
    <w:rPr>
      <w:rFonts w:asciiTheme="minorHAnsi" w:hAnsiTheme="minorHAnsi" w:eastAsiaTheme="minorEastAsia" w:cstheme="minorBidi"/>
      <w:kern w:val="2"/>
      <w:sz w:val="18"/>
      <w:szCs w:val="18"/>
      <w:lang w:eastAsia="zh-CN"/>
    </w:rPr>
  </w:style>
  <w:style w:type="paragraph" w:styleId="5">
    <w:name w:val="footer"/>
    <w:basedOn w:val="1"/>
    <w:link w:val="13"/>
    <w:unhideWhenUsed/>
    <w:qFormat/>
    <w:uiPriority w:val="99"/>
    <w:pPr>
      <w:tabs>
        <w:tab w:val="center" w:pos="4153"/>
        <w:tab w:val="right" w:pos="8306"/>
      </w:tabs>
      <w:suppressAutoHyphens w:val="0"/>
      <w:snapToGrid w:val="0"/>
      <w:jc w:val="left"/>
    </w:pPr>
    <w:rPr>
      <w:rFonts w:asciiTheme="minorHAnsi" w:hAnsiTheme="minorHAnsi" w:eastAsiaTheme="minorEastAsia" w:cstheme="minorBidi"/>
      <w:kern w:val="2"/>
      <w:sz w:val="18"/>
      <w:szCs w:val="18"/>
      <w:lang w:eastAsia="zh-CN"/>
    </w:rPr>
  </w:style>
  <w:style w:type="paragraph" w:styleId="6">
    <w:name w:val="header"/>
    <w:basedOn w:val="1"/>
    <w:link w:val="12"/>
    <w:semiHidden/>
    <w:unhideWhenUsed/>
    <w:qFormat/>
    <w:uiPriority w:val="99"/>
    <w:pPr>
      <w:pBdr>
        <w:bottom w:val="single" w:color="auto" w:sz="6" w:space="1"/>
      </w:pBdr>
      <w:tabs>
        <w:tab w:val="center" w:pos="4153"/>
        <w:tab w:val="right" w:pos="8306"/>
      </w:tabs>
      <w:suppressAutoHyphens w:val="0"/>
      <w:snapToGrid w:val="0"/>
      <w:jc w:val="center"/>
    </w:pPr>
    <w:rPr>
      <w:rFonts w:asciiTheme="minorHAnsi" w:hAnsiTheme="minorHAnsi" w:eastAsiaTheme="minorEastAsia" w:cstheme="minorBidi"/>
      <w:kern w:val="2"/>
      <w:sz w:val="18"/>
      <w:szCs w:val="18"/>
      <w:lang w:eastAsia="zh-CN"/>
    </w:rPr>
  </w:style>
  <w:style w:type="paragraph" w:styleId="7">
    <w:name w:val="annotation subject"/>
    <w:basedOn w:val="2"/>
    <w:next w:val="2"/>
    <w:link w:val="17"/>
    <w:semiHidden/>
    <w:unhideWhenUsed/>
    <w:qFormat/>
    <w:uiPriority w:val="99"/>
    <w:rPr>
      <w:b/>
      <w:bCs/>
    </w:rPr>
  </w:style>
  <w:style w:type="character" w:styleId="10">
    <w:name w:val="page number"/>
    <w:basedOn w:val="9"/>
    <w:semiHidden/>
    <w:unhideWhenUsed/>
    <w:qFormat/>
    <w:uiPriority w:val="99"/>
  </w:style>
  <w:style w:type="character" w:styleId="11">
    <w:name w:val="annotation reference"/>
    <w:basedOn w:val="9"/>
    <w:semiHidden/>
    <w:unhideWhenUsed/>
    <w:qFormat/>
    <w:uiPriority w:val="99"/>
    <w:rPr>
      <w:rFonts w:asciiTheme="minorHAnsi" w:hAnsiTheme="minorHAnsi" w:eastAsiaTheme="minorEastAsia" w:cstheme="minorBidi"/>
      <w:sz w:val="21"/>
      <w:szCs w:val="21"/>
    </w:rPr>
  </w:style>
  <w:style w:type="character" w:customStyle="1" w:styleId="12">
    <w:name w:val="页眉 Char"/>
    <w:basedOn w:val="9"/>
    <w:link w:val="6"/>
    <w:semiHidden/>
    <w:qFormat/>
    <w:uiPriority w:val="99"/>
    <w:rPr>
      <w:sz w:val="18"/>
      <w:szCs w:val="18"/>
    </w:rPr>
  </w:style>
  <w:style w:type="character" w:customStyle="1" w:styleId="13">
    <w:name w:val="页脚 Char"/>
    <w:basedOn w:val="9"/>
    <w:link w:val="5"/>
    <w:semiHidden/>
    <w:qFormat/>
    <w:uiPriority w:val="99"/>
    <w:rPr>
      <w:sz w:val="18"/>
      <w:szCs w:val="18"/>
    </w:rPr>
  </w:style>
  <w:style w:type="paragraph" w:styleId="14">
    <w:name w:val="List Paragraph"/>
    <w:basedOn w:val="1"/>
    <w:qFormat/>
    <w:uiPriority w:val="34"/>
    <w:pPr>
      <w:suppressAutoHyphens/>
      <w:ind w:firstLine="420" w:firstLineChars="200"/>
    </w:pPr>
    <w:rPr>
      <w:rFonts w:asciiTheme="minorHAnsi" w:hAnsiTheme="minorHAnsi" w:eastAsiaTheme="minorEastAsia" w:cstheme="minorBidi"/>
      <w:kern w:val="2"/>
      <w:szCs w:val="22"/>
      <w:lang w:eastAsia="zh-CN"/>
    </w:rPr>
  </w:style>
  <w:style w:type="character" w:customStyle="1" w:styleId="15">
    <w:name w:val="批注框文本 Char"/>
    <w:basedOn w:val="9"/>
    <w:link w:val="4"/>
    <w:semiHidden/>
    <w:qFormat/>
    <w:uiPriority w:val="99"/>
    <w:rPr>
      <w:rFonts w:asciiTheme="minorHAnsi" w:hAnsiTheme="minorHAnsi" w:eastAsiaTheme="minorEastAsia" w:cstheme="minorBidi"/>
      <w:sz w:val="18"/>
      <w:szCs w:val="18"/>
    </w:rPr>
  </w:style>
  <w:style w:type="character" w:customStyle="1" w:styleId="16">
    <w:name w:val="批注文字 Char"/>
    <w:basedOn w:val="9"/>
    <w:link w:val="2"/>
    <w:semiHidden/>
    <w:qFormat/>
    <w:uiPriority w:val="99"/>
    <w:rPr>
      <w:rFonts w:asciiTheme="minorHAnsi" w:hAnsiTheme="minorHAnsi" w:eastAsiaTheme="minorEastAsia" w:cstheme="minorBidi"/>
    </w:rPr>
  </w:style>
  <w:style w:type="character" w:customStyle="1" w:styleId="17">
    <w:name w:val="批注主题 Char"/>
    <w:basedOn w:val="16"/>
    <w:link w:val="7"/>
    <w:semiHidden/>
    <w:qFormat/>
    <w:uiPriority w:val="99"/>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8</Pages>
  <Words>6</Words>
  <Characters>35</Characters>
  <Lines>1</Lines>
  <Paragraphs>1</Paragraphs>
  <TotalTime>13</TotalTime>
  <ScaleCrop>false</ScaleCrop>
  <LinksUpToDate>false</LinksUpToDate>
  <CharactersWithSpaces>40</CharactersWithSpaces>
  <Application>WPS Office_11.8.2.12065_F1E327BC-269C-435d-A152-05C5408002CA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2017-05-30T18:35:00Z</dcterms:created>
  <dc:creator>覃锦辉(拟稿)</dc:creator>
  <cp:lastModifiedBy>xuebai</cp:lastModifiedBy>
  <cp:lastPrinted>2026-06-25T01:19:00Z</cp:lastPrinted>
  <dcterms:modified xsi:type="dcterms:W3CDTF">2026-10-19T08:57:23Z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ICV">
    <vt:lpwstr>DE7D9DF6B7034ADF8240D2BABD755D1E_13</vt:lpwstr>
  </property>
</Properties>
</file>