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1A3FDA">
      <w:pPr>
        <w:spacing w:line="560" w:lineRule="exact"/>
        <w:ind w:firstLine="0" w:firstLineChars="0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  <w:bCs/>
          <w:sz w:val="44"/>
          <w:szCs w:val="44"/>
        </w:rPr>
        <w:t>关于</w:t>
      </w:r>
      <w:r>
        <w:rPr>
          <w:rFonts w:hint="eastAsia" w:eastAsia="黑体" w:cs="Times New Roman"/>
          <w:bCs/>
          <w:sz w:val="44"/>
          <w:szCs w:val="44"/>
          <w:lang w:eastAsia="zh-CN"/>
        </w:rPr>
        <w:t>对</w:t>
      </w:r>
      <w:r>
        <w:rPr>
          <w:rFonts w:hint="default" w:ascii="Times New Roman" w:hAnsi="Times New Roman" w:eastAsia="黑体" w:cs="Times New Roman"/>
          <w:bCs/>
          <w:sz w:val="44"/>
          <w:szCs w:val="44"/>
        </w:rPr>
        <w:t>海越能源集团股份有限公司时任董事长、财务总监王彬</w:t>
      </w:r>
      <w:r>
        <w:rPr>
          <w:rFonts w:hint="eastAsia" w:eastAsia="黑体" w:cs="Times New Roman"/>
          <w:bCs/>
          <w:sz w:val="44"/>
          <w:szCs w:val="44"/>
          <w:lang w:eastAsia="zh-CN"/>
        </w:rPr>
        <w:t>予以</w:t>
      </w:r>
      <w:r>
        <w:rPr>
          <w:rFonts w:hint="default" w:ascii="Times New Roman" w:hAnsi="Times New Roman" w:eastAsia="黑体" w:cs="Times New Roman"/>
          <w:bCs/>
          <w:sz w:val="44"/>
          <w:szCs w:val="44"/>
        </w:rPr>
        <w:t>纪律处分</w:t>
      </w:r>
      <w:r>
        <w:rPr>
          <w:rFonts w:hint="eastAsia" w:eastAsia="黑体" w:cs="Times New Roman"/>
          <w:bCs/>
          <w:sz w:val="44"/>
          <w:szCs w:val="44"/>
          <w:lang w:eastAsia="zh-CN"/>
        </w:rPr>
        <w:t>的</w:t>
      </w:r>
      <w:r>
        <w:rPr>
          <w:rFonts w:hint="default" w:ascii="Times New Roman" w:hAnsi="Times New Roman" w:eastAsia="黑体" w:cs="Times New Roman"/>
          <w:bCs/>
          <w:sz w:val="44"/>
          <w:szCs w:val="44"/>
        </w:rPr>
        <w:t>意向书</w:t>
      </w:r>
    </w:p>
    <w:p w14:paraId="2AAFCB13">
      <w:pPr>
        <w:snapToGrid w:val="0"/>
        <w:spacing w:line="560" w:lineRule="exact"/>
        <w:ind w:firstLine="0" w:firstLineChars="0"/>
        <w:jc w:val="both"/>
        <w:rPr>
          <w:rFonts w:hint="default" w:ascii="Times New Roman" w:hAnsi="Times New Roman" w:eastAsia="仿宋_GB2312" w:cs="Times New Roman"/>
          <w:sz w:val="30"/>
          <w:szCs w:val="30"/>
        </w:rPr>
      </w:pPr>
    </w:p>
    <w:p w14:paraId="40398FB7">
      <w:pPr>
        <w:snapToGrid w:val="0"/>
        <w:spacing w:line="560" w:lineRule="exact"/>
        <w:ind w:firstLine="0" w:firstLineChars="0"/>
        <w:jc w:val="both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海越能源集团股份有限公司时任董事长、财务总监王彬：</w:t>
      </w:r>
    </w:p>
    <w:p w14:paraId="6D9567BB">
      <w:pPr>
        <w:numPr>
          <w:ilvl w:val="0"/>
          <w:numId w:val="0"/>
        </w:numPr>
        <w:snapToGrid w:val="0"/>
        <w:spacing w:line="560" w:lineRule="exact"/>
        <w:ind w:firstLine="600" w:firstLineChars="200"/>
        <w:jc w:val="both"/>
        <w:rPr>
          <w:rFonts w:hint="default" w:ascii="Times New Roman" w:hAnsi="Times New Roman" w:eastAsia="仿宋_GB2312" w:cs="Times New Roman"/>
          <w:sz w:val="30"/>
          <w:szCs w:val="30"/>
          <w:lang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eastAsia="zh-CN"/>
        </w:rPr>
        <w:t>根据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:lang w:eastAsia="zh-CN"/>
        </w:rPr>
        <w:t>中国证券监督管理委员会</w:t>
      </w:r>
      <w:r>
        <w:rPr>
          <w:rFonts w:hint="eastAsia" w:eastAsia="仿宋_GB2312" w:cs="Times New Roman"/>
          <w:sz w:val="30"/>
          <w:szCs w:val="30"/>
          <w:highlight w:val="none"/>
          <w:lang w:eastAsia="zh-CN"/>
        </w:rPr>
        <w:t>浙江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:lang w:eastAsia="zh-CN"/>
        </w:rPr>
        <w:t>监管局出具的《行政处罚事先告知书》（</w:t>
      </w:r>
      <w:r>
        <w:rPr>
          <w:rFonts w:hint="eastAsia" w:eastAsia="仿宋_GB2312" w:cs="Times New Roman"/>
          <w:sz w:val="30"/>
          <w:szCs w:val="30"/>
          <w:highlight w:val="none"/>
          <w:lang w:eastAsia="zh-CN"/>
        </w:rPr>
        <w:t>浙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:lang w:eastAsia="zh-CN"/>
        </w:rPr>
        <w:t>处罚字〔202</w:t>
      </w:r>
      <w:r>
        <w:rPr>
          <w:rFonts w:hint="eastAsia" w:eastAsia="仿宋_GB2312" w:cs="Times New Roman"/>
          <w:sz w:val="30"/>
          <w:szCs w:val="30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:lang w:eastAsia="zh-CN"/>
        </w:rPr>
        <w:t>〕</w:t>
      </w:r>
      <w:r>
        <w:rPr>
          <w:rFonts w:hint="eastAsia" w:eastAsia="仿宋_GB2312" w:cs="Times New Roman"/>
          <w:sz w:val="30"/>
          <w:szCs w:val="30"/>
          <w:highlight w:val="none"/>
          <w:lang w:val="en-US" w:eastAsia="zh-CN"/>
        </w:rPr>
        <w:t>14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:lang w:eastAsia="zh-CN"/>
        </w:rPr>
        <w:t>号）</w:t>
      </w:r>
      <w:r>
        <w:rPr>
          <w:rFonts w:hint="default" w:ascii="Times New Roman" w:hAnsi="Times New Roman" w:eastAsia="仿宋_GB2312" w:cs="Times New Roman"/>
          <w:sz w:val="30"/>
          <w:szCs w:val="30"/>
          <w:lang w:eastAsia="zh-CN"/>
        </w:rPr>
        <w:t>查明的事实</w:t>
      </w:r>
      <w:r>
        <w:rPr>
          <w:rFonts w:hint="default" w:ascii="Times New Roman" w:hAnsi="Times New Roman" w:eastAsia="仿宋_GB2312" w:cs="Times New Roman"/>
          <w:sz w:val="30"/>
          <w:szCs w:val="30"/>
        </w:rPr>
        <w:t>，海越能源集团股份有限公司</w:t>
      </w:r>
      <w:r>
        <w:rPr>
          <w:rFonts w:hint="default" w:ascii="Times New Roman" w:hAnsi="Times New Roman" w:eastAsia="仿宋_GB2312" w:cs="Times New Roman"/>
          <w:sz w:val="30"/>
          <w:szCs w:val="30"/>
          <w:lang w:eastAsia="zh-CN"/>
        </w:rPr>
        <w:t>（以下简称公司）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sz w:val="30"/>
          <w:szCs w:val="30"/>
          <w:lang w:eastAsia="zh-CN"/>
        </w:rPr>
        <w:t>控股股东铜川高鑫金融控股有限公司（以下简称高鑫金控）</w:t>
      </w:r>
      <w:r>
        <w:rPr>
          <w:rFonts w:hint="default" w:ascii="Times New Roman" w:hAnsi="Times New Roman" w:eastAsia="仿宋_GB2312" w:cs="Times New Roman"/>
          <w:sz w:val="30"/>
          <w:szCs w:val="30"/>
        </w:rPr>
        <w:t>在信息披露、规范运作方面，有关责任人在职责履行方面</w:t>
      </w:r>
      <w:r>
        <w:rPr>
          <w:rFonts w:hint="default" w:ascii="Times New Roman" w:hAnsi="Times New Roman" w:eastAsia="仿宋_GB2312" w:cs="Times New Roman"/>
          <w:sz w:val="30"/>
          <w:szCs w:val="30"/>
          <w:lang w:eastAsia="zh-CN"/>
        </w:rPr>
        <w:t>存在</w:t>
      </w:r>
      <w:r>
        <w:rPr>
          <w:rFonts w:hint="eastAsia" w:eastAsia="仿宋_GB2312" w:cs="Times New Roman"/>
          <w:sz w:val="30"/>
          <w:szCs w:val="30"/>
          <w:lang w:eastAsia="zh-CN"/>
        </w:rPr>
        <w:t>以下</w:t>
      </w:r>
      <w:r>
        <w:rPr>
          <w:rFonts w:hint="default" w:ascii="Times New Roman" w:hAnsi="Times New Roman" w:eastAsia="仿宋_GB2312" w:cs="Times New Roman"/>
          <w:sz w:val="30"/>
          <w:szCs w:val="30"/>
          <w:lang w:eastAsia="zh-CN"/>
        </w:rPr>
        <w:t>违规行为。</w:t>
      </w:r>
    </w:p>
    <w:p w14:paraId="02D8DD9A">
      <w:pPr>
        <w:keepNext w:val="0"/>
        <w:keepLines w:val="0"/>
        <w:widowControl w:val="0"/>
        <w:suppressLineNumbers w:val="0"/>
        <w:suppressAutoHyphens/>
        <w:adjustRightInd w:val="0"/>
        <w:snapToGrid w:val="0"/>
        <w:spacing w:before="0" w:beforeAutospacing="0" w:after="0" w:afterAutospacing="0" w:line="560" w:lineRule="exact"/>
        <w:ind w:left="0" w:right="0" w:firstLine="600"/>
        <w:jc w:val="both"/>
        <w:rPr>
          <w:rFonts w:hint="eastAsia" w:ascii="Times New Roman" w:hAnsi="Times New Roman" w:eastAsia="黑体" w:cs="Times New Roman"/>
          <w:bCs/>
          <w:kern w:val="1"/>
          <w:sz w:val="30"/>
          <w:szCs w:val="30"/>
        </w:rPr>
      </w:pPr>
      <w:r>
        <w:rPr>
          <w:rFonts w:hint="eastAsia" w:ascii="黑体" w:hAnsi="宋体" w:eastAsia="黑体" w:cs="黑体"/>
          <w:bCs/>
          <w:kern w:val="1"/>
          <w:sz w:val="30"/>
          <w:szCs w:val="30"/>
          <w:lang w:val="en-US" w:eastAsia="zh-CN" w:bidi="ar"/>
        </w:rPr>
        <w:t>一、公司控股股东、关联方情况</w:t>
      </w:r>
    </w:p>
    <w:p w14:paraId="004182C4">
      <w:pPr>
        <w:keepNext w:val="0"/>
        <w:keepLines w:val="0"/>
        <w:widowControl w:val="0"/>
        <w:suppressLineNumbers w:val="0"/>
        <w:suppressAutoHyphens/>
        <w:snapToGrid w:val="0"/>
        <w:spacing w:before="0" w:beforeAutospacing="0" w:after="0" w:afterAutospacing="0" w:line="560" w:lineRule="exact"/>
        <w:ind w:left="0" w:right="0" w:firstLine="600" w:firstLineChars="200"/>
        <w:jc w:val="both"/>
        <w:rPr>
          <w:rFonts w:hint="default" w:ascii="Times New Roman" w:hAnsi="Times New Roman" w:eastAsia="仿宋_GB2312" w:cs="Times New Roman"/>
          <w:kern w:val="1"/>
          <w:sz w:val="30"/>
          <w:szCs w:val="30"/>
        </w:rPr>
      </w:pPr>
      <w:r>
        <w:rPr>
          <w:rFonts w:hint="eastAsia" w:ascii="仿宋_GB2312" w:hAnsi="Times New Roman" w:eastAsia="仿宋_GB2312" w:cs="仿宋_GB2312"/>
          <w:kern w:val="1"/>
          <w:sz w:val="30"/>
          <w:szCs w:val="30"/>
          <w:lang w:val="en-US" w:eastAsia="zh-CN" w:bidi="ar"/>
        </w:rPr>
        <w:t>案涉期间，铜川汇能鑫能源有限公司（以下简称汇能鑫）持有公司</w:t>
      </w:r>
      <w:r>
        <w:rPr>
          <w:rFonts w:hint="default" w:ascii="Times New Roman" w:hAnsi="Times New Roman" w:eastAsia="仿宋_GB2312" w:cs="Times New Roman"/>
          <w:kern w:val="1"/>
          <w:sz w:val="30"/>
          <w:szCs w:val="30"/>
          <w:lang w:val="en-US" w:eastAsia="zh-CN" w:bidi="ar"/>
        </w:rPr>
        <w:t>19.21%</w:t>
      </w:r>
      <w:r>
        <w:rPr>
          <w:rFonts w:hint="eastAsia" w:ascii="仿宋_GB2312" w:hAnsi="Times New Roman" w:eastAsia="仿宋_GB2312" w:cs="仿宋_GB2312"/>
          <w:kern w:val="1"/>
          <w:sz w:val="30"/>
          <w:szCs w:val="30"/>
          <w:lang w:val="en-US" w:eastAsia="zh-CN" w:bidi="ar"/>
        </w:rPr>
        <w:t>的股份，高鑫金控持有汇能鑫</w:t>
      </w:r>
      <w:r>
        <w:rPr>
          <w:rFonts w:hint="default" w:ascii="Times New Roman" w:hAnsi="Times New Roman" w:eastAsia="仿宋_GB2312" w:cs="Times New Roman"/>
          <w:kern w:val="1"/>
          <w:sz w:val="30"/>
          <w:szCs w:val="30"/>
          <w:lang w:val="en-US" w:eastAsia="zh-CN" w:bidi="ar"/>
        </w:rPr>
        <w:t>100%</w:t>
      </w:r>
      <w:r>
        <w:rPr>
          <w:rFonts w:hint="eastAsia" w:ascii="仿宋_GB2312" w:hAnsi="Times New Roman" w:eastAsia="仿宋_GB2312" w:cs="仿宋_GB2312"/>
          <w:kern w:val="1"/>
          <w:sz w:val="30"/>
          <w:szCs w:val="30"/>
          <w:lang w:val="en-US" w:eastAsia="zh-CN" w:bidi="ar"/>
        </w:rPr>
        <w:t>的股份。汇能鑫仅是高鑫金控用于管理控制公司的持股平台，相关事务由高鑫金控管控，在经营决策、财务管理、人员管理、行政管理、办公场所等方面无独立性。案涉期间高鑫金控实际管控公司，是公司控股股东。</w:t>
      </w:r>
    </w:p>
    <w:p w14:paraId="3B93A201">
      <w:pPr>
        <w:keepNext w:val="0"/>
        <w:keepLines w:val="0"/>
        <w:widowControl w:val="0"/>
        <w:suppressLineNumbers w:val="0"/>
        <w:suppressAutoHyphens/>
        <w:snapToGrid w:val="0"/>
        <w:spacing w:before="0" w:beforeAutospacing="0" w:after="0" w:afterAutospacing="0" w:line="560" w:lineRule="exact"/>
        <w:ind w:left="0" w:right="0" w:firstLine="600" w:firstLineChars="200"/>
        <w:jc w:val="both"/>
        <w:rPr>
          <w:rFonts w:hint="default" w:ascii="Times New Roman" w:hAnsi="Times New Roman" w:eastAsia="仿宋_GB2312" w:cs="Times New Roman"/>
          <w:kern w:val="1"/>
          <w:sz w:val="30"/>
          <w:szCs w:val="30"/>
        </w:rPr>
      </w:pPr>
      <w:r>
        <w:rPr>
          <w:rFonts w:hint="eastAsia" w:ascii="仿宋_GB2312" w:hAnsi="Times New Roman" w:eastAsia="仿宋_GB2312" w:cs="仿宋_GB2312"/>
          <w:kern w:val="1"/>
          <w:sz w:val="30"/>
          <w:szCs w:val="30"/>
          <w:lang w:val="en-US" w:eastAsia="zh-CN" w:bidi="ar"/>
        </w:rPr>
        <w:t>案涉期间，高鑫金控能够对宁夏恺力信商贸有限公司（以下简称宁夏恺力信）、铜川安泰容电子科技有限公司（以下简称铜川安泰容）施加重大影响。公司与宁夏恺力信、铜川安泰容符合《企业会计准则第</w:t>
      </w:r>
      <w:r>
        <w:rPr>
          <w:rFonts w:hint="default" w:ascii="Times New Roman" w:hAnsi="Times New Roman" w:eastAsia="仿宋_GB2312" w:cs="Times New Roman"/>
          <w:kern w:val="1"/>
          <w:sz w:val="30"/>
          <w:szCs w:val="30"/>
          <w:lang w:val="en-US" w:eastAsia="zh-CN" w:bidi="ar"/>
        </w:rPr>
        <w:t>36</w:t>
      </w:r>
      <w:r>
        <w:rPr>
          <w:rFonts w:hint="eastAsia" w:ascii="仿宋_GB2312" w:hAnsi="Times New Roman" w:eastAsia="仿宋_GB2312" w:cs="仿宋_GB2312"/>
          <w:kern w:val="1"/>
          <w:sz w:val="30"/>
          <w:szCs w:val="30"/>
          <w:lang w:val="en-US" w:eastAsia="zh-CN" w:bidi="ar"/>
        </w:rPr>
        <w:t>号——关联方披露》第三条第一款所述</w:t>
      </w:r>
      <w:r>
        <w:rPr>
          <w:rFonts w:hint="default" w:ascii="Times New Roman" w:hAnsi="Times New Roman" w:eastAsia="仿宋_GB2312" w:cs="Times New Roman"/>
          <w:kern w:val="1"/>
          <w:sz w:val="30"/>
          <w:szCs w:val="30"/>
          <w:lang w:val="en-US" w:eastAsia="zh-CN" w:bidi="ar"/>
        </w:rPr>
        <w:t>“</w:t>
      </w:r>
      <w:r>
        <w:rPr>
          <w:rFonts w:hint="eastAsia" w:ascii="仿宋_GB2312" w:hAnsi="Times New Roman" w:eastAsia="仿宋_GB2312" w:cs="仿宋_GB2312"/>
          <w:kern w:val="1"/>
          <w:sz w:val="30"/>
          <w:szCs w:val="30"/>
          <w:lang w:val="en-US" w:eastAsia="zh-CN" w:bidi="ar"/>
        </w:rPr>
        <w:t>一方控制、共同控制另一方或对另一方施加重大影响，以及两方或两方以上同受一方控制、共同控制或重大影响的，构成关联方</w:t>
      </w:r>
      <w:r>
        <w:rPr>
          <w:rFonts w:hint="default" w:ascii="Times New Roman" w:hAnsi="Times New Roman" w:eastAsia="仿宋_GB2312" w:cs="Times New Roman"/>
          <w:kern w:val="1"/>
          <w:sz w:val="30"/>
          <w:szCs w:val="30"/>
          <w:lang w:val="en-US" w:eastAsia="zh-CN" w:bidi="ar"/>
        </w:rPr>
        <w:t>”</w:t>
      </w:r>
      <w:r>
        <w:rPr>
          <w:rFonts w:hint="eastAsia" w:ascii="仿宋_GB2312" w:hAnsi="Times New Roman" w:eastAsia="仿宋_GB2312" w:cs="仿宋_GB2312"/>
          <w:kern w:val="1"/>
          <w:sz w:val="30"/>
          <w:szCs w:val="30"/>
          <w:lang w:val="en-US" w:eastAsia="zh-CN" w:bidi="ar"/>
        </w:rPr>
        <w:t>的情形。根据相关规定，宁夏恺力信、铜川安泰容是公司的关联方。</w:t>
      </w:r>
    </w:p>
    <w:p w14:paraId="3496F29C">
      <w:pPr>
        <w:keepNext w:val="0"/>
        <w:keepLines w:val="0"/>
        <w:widowControl w:val="0"/>
        <w:suppressLineNumbers w:val="0"/>
        <w:suppressAutoHyphens/>
        <w:adjustRightInd w:val="0"/>
        <w:snapToGrid w:val="0"/>
        <w:spacing w:before="0" w:beforeAutospacing="0" w:after="0" w:afterAutospacing="0" w:line="560" w:lineRule="exact"/>
        <w:ind w:left="0" w:right="0" w:firstLine="600"/>
        <w:jc w:val="both"/>
        <w:rPr>
          <w:rFonts w:hint="default" w:ascii="Times New Roman" w:hAnsi="Times New Roman" w:eastAsia="黑体" w:cs="Times New Roman"/>
          <w:bCs/>
          <w:kern w:val="1"/>
          <w:sz w:val="30"/>
          <w:szCs w:val="30"/>
        </w:rPr>
      </w:pPr>
      <w:r>
        <w:rPr>
          <w:rFonts w:hint="eastAsia" w:ascii="黑体" w:hAnsi="宋体" w:eastAsia="黑体" w:cs="黑体"/>
          <w:bCs/>
          <w:kern w:val="1"/>
          <w:sz w:val="30"/>
          <w:szCs w:val="30"/>
          <w:lang w:val="en-US" w:eastAsia="zh-CN" w:bidi="ar"/>
        </w:rPr>
        <w:t>二、公司未按规定披露控股股东非经营性资金占用、关联交易</w:t>
      </w:r>
    </w:p>
    <w:p w14:paraId="6ADB8976">
      <w:pPr>
        <w:keepNext w:val="0"/>
        <w:keepLines w:val="0"/>
        <w:widowControl w:val="0"/>
        <w:suppressLineNumbers w:val="0"/>
        <w:suppressAutoHyphens/>
        <w:snapToGrid w:val="0"/>
        <w:spacing w:before="0" w:beforeAutospacing="0" w:after="0" w:afterAutospacing="0" w:line="560" w:lineRule="exact"/>
        <w:ind w:left="0" w:right="0" w:firstLine="600" w:firstLineChars="200"/>
        <w:jc w:val="both"/>
        <w:rPr>
          <w:rFonts w:hint="default" w:ascii="Times New Roman" w:hAnsi="Times New Roman" w:eastAsia="仿宋_GB2312" w:cs="Times New Roman"/>
          <w:kern w:val="1"/>
          <w:sz w:val="30"/>
          <w:szCs w:val="30"/>
        </w:rPr>
      </w:pPr>
      <w:r>
        <w:rPr>
          <w:rFonts w:hint="default" w:ascii="Times New Roman" w:hAnsi="Times New Roman" w:eastAsia="仿宋_GB2312" w:cs="Times New Roman"/>
          <w:kern w:val="1"/>
          <w:sz w:val="30"/>
          <w:szCs w:val="30"/>
          <w:lang w:val="en-US" w:eastAsia="zh-CN" w:bidi="ar"/>
        </w:rPr>
        <w:t>2023</w:t>
      </w:r>
      <w:r>
        <w:rPr>
          <w:rFonts w:hint="eastAsia" w:ascii="仿宋_GB2312" w:hAnsi="Times New Roman" w:eastAsia="仿宋_GB2312" w:cs="仿宋_GB2312"/>
          <w:kern w:val="1"/>
          <w:sz w:val="30"/>
          <w:szCs w:val="30"/>
          <w:lang w:val="en-US" w:eastAsia="zh-CN" w:bidi="ar"/>
        </w:rPr>
        <w:t>年至</w:t>
      </w:r>
      <w:r>
        <w:rPr>
          <w:rFonts w:hint="default" w:ascii="Times New Roman" w:hAnsi="Times New Roman" w:eastAsia="仿宋_GB2312" w:cs="Times New Roman"/>
          <w:kern w:val="1"/>
          <w:sz w:val="30"/>
          <w:szCs w:val="30"/>
          <w:lang w:val="en-US" w:eastAsia="zh-CN" w:bidi="ar"/>
        </w:rPr>
        <w:t>2024</w:t>
      </w:r>
      <w:r>
        <w:rPr>
          <w:rFonts w:hint="eastAsia" w:ascii="仿宋_GB2312" w:hAnsi="Times New Roman" w:eastAsia="仿宋_GB2312" w:cs="仿宋_GB2312"/>
          <w:kern w:val="1"/>
          <w:sz w:val="30"/>
          <w:szCs w:val="30"/>
          <w:lang w:val="en-US" w:eastAsia="zh-CN" w:bidi="ar"/>
        </w:rPr>
        <w:t>年期间，控股股东高鑫金控通过组织、指使公司及其子公司向供应商预付货款、向工程建设方支付预付款、向客户延迟收款等形式，占用公司及其子公司资金。其中</w:t>
      </w:r>
      <w:r>
        <w:rPr>
          <w:rFonts w:hint="default" w:ascii="Times New Roman" w:hAnsi="Times New Roman" w:eastAsia="仿宋_GB2312" w:cs="Times New Roman"/>
          <w:kern w:val="1"/>
          <w:sz w:val="30"/>
          <w:szCs w:val="30"/>
          <w:lang w:val="en-US" w:eastAsia="zh-CN" w:bidi="ar"/>
        </w:rPr>
        <w:t>2023</w:t>
      </w:r>
      <w:r>
        <w:rPr>
          <w:rFonts w:hint="eastAsia" w:ascii="仿宋_GB2312" w:hAnsi="Times New Roman" w:eastAsia="仿宋_GB2312" w:cs="仿宋_GB2312"/>
          <w:kern w:val="1"/>
          <w:sz w:val="30"/>
          <w:szCs w:val="30"/>
          <w:lang w:val="en-US" w:eastAsia="zh-CN" w:bidi="ar"/>
        </w:rPr>
        <w:t>年资金占用发生额</w:t>
      </w:r>
      <w:r>
        <w:rPr>
          <w:rFonts w:hint="default" w:ascii="Times New Roman" w:hAnsi="Times New Roman" w:eastAsia="仿宋_GB2312" w:cs="Times New Roman"/>
          <w:kern w:val="1"/>
          <w:sz w:val="30"/>
          <w:szCs w:val="30"/>
          <w:lang w:val="en-US" w:eastAsia="zh-CN" w:bidi="ar"/>
        </w:rPr>
        <w:t>36,878.08</w:t>
      </w:r>
      <w:r>
        <w:rPr>
          <w:rFonts w:hint="eastAsia" w:ascii="仿宋_GB2312" w:hAnsi="Times New Roman" w:eastAsia="仿宋_GB2312" w:cs="仿宋_GB2312"/>
          <w:kern w:val="1"/>
          <w:sz w:val="30"/>
          <w:szCs w:val="30"/>
          <w:lang w:val="en-US" w:eastAsia="zh-CN" w:bidi="ar"/>
        </w:rPr>
        <w:t>万元，期末余额</w:t>
      </w:r>
      <w:r>
        <w:rPr>
          <w:rFonts w:hint="default" w:ascii="Times New Roman" w:hAnsi="Times New Roman" w:eastAsia="仿宋_GB2312" w:cs="Times New Roman"/>
          <w:kern w:val="1"/>
          <w:sz w:val="30"/>
          <w:szCs w:val="30"/>
          <w:lang w:val="en-US" w:eastAsia="zh-CN" w:bidi="ar"/>
        </w:rPr>
        <w:t>11,003.55</w:t>
      </w:r>
      <w:r>
        <w:rPr>
          <w:rFonts w:hint="eastAsia" w:ascii="仿宋_GB2312" w:hAnsi="Times New Roman" w:eastAsia="仿宋_GB2312" w:cs="仿宋_GB2312"/>
          <w:kern w:val="1"/>
          <w:sz w:val="30"/>
          <w:szCs w:val="30"/>
          <w:lang w:val="en-US" w:eastAsia="zh-CN" w:bidi="ar"/>
        </w:rPr>
        <w:t>万元，占公司当期净资产的比例分别为</w:t>
      </w:r>
      <w:r>
        <w:rPr>
          <w:rFonts w:hint="default" w:ascii="Times New Roman" w:hAnsi="Times New Roman" w:eastAsia="仿宋_GB2312" w:cs="Times New Roman"/>
          <w:kern w:val="1"/>
          <w:sz w:val="30"/>
          <w:szCs w:val="30"/>
          <w:lang w:val="en-US" w:eastAsia="zh-CN" w:bidi="ar"/>
        </w:rPr>
        <w:t>12.08%</w:t>
      </w:r>
      <w:r>
        <w:rPr>
          <w:rFonts w:hint="eastAsia" w:ascii="仿宋_GB2312" w:hAnsi="Times New Roman" w:eastAsia="仿宋_GB2312" w:cs="仿宋_GB2312"/>
          <w:kern w:val="1"/>
          <w:sz w:val="30"/>
          <w:szCs w:val="30"/>
          <w:lang w:val="en-US" w:eastAsia="zh-CN" w:bidi="ar"/>
        </w:rPr>
        <w:t>、</w:t>
      </w:r>
      <w:r>
        <w:rPr>
          <w:rFonts w:hint="default" w:ascii="Times New Roman" w:hAnsi="Times New Roman" w:eastAsia="仿宋_GB2312" w:cs="Times New Roman"/>
          <w:kern w:val="1"/>
          <w:sz w:val="30"/>
          <w:szCs w:val="30"/>
          <w:lang w:val="en-US" w:eastAsia="zh-CN" w:bidi="ar"/>
        </w:rPr>
        <w:t>3.60%</w:t>
      </w:r>
      <w:r>
        <w:rPr>
          <w:rFonts w:hint="eastAsia" w:ascii="仿宋_GB2312" w:hAnsi="Times New Roman" w:eastAsia="仿宋_GB2312" w:cs="仿宋_GB2312"/>
          <w:kern w:val="1"/>
          <w:sz w:val="30"/>
          <w:szCs w:val="30"/>
          <w:lang w:val="en-US" w:eastAsia="zh-CN" w:bidi="ar"/>
        </w:rPr>
        <w:t>；</w:t>
      </w:r>
      <w:r>
        <w:rPr>
          <w:rFonts w:hint="default" w:ascii="Times New Roman" w:hAnsi="Times New Roman" w:eastAsia="仿宋_GB2312" w:cs="Times New Roman"/>
          <w:kern w:val="1"/>
          <w:sz w:val="30"/>
          <w:szCs w:val="30"/>
          <w:lang w:val="en-US" w:eastAsia="zh-CN" w:bidi="ar"/>
        </w:rPr>
        <w:t>2024</w:t>
      </w:r>
      <w:r>
        <w:rPr>
          <w:rFonts w:hint="eastAsia" w:ascii="仿宋_GB2312" w:hAnsi="Times New Roman" w:eastAsia="仿宋_GB2312" w:cs="仿宋_GB2312"/>
          <w:kern w:val="1"/>
          <w:sz w:val="30"/>
          <w:szCs w:val="30"/>
          <w:lang w:val="en-US" w:eastAsia="zh-CN" w:bidi="ar"/>
        </w:rPr>
        <w:t>年</w:t>
      </w:r>
      <w:r>
        <w:rPr>
          <w:rFonts w:hint="default" w:ascii="Times New Roman" w:hAnsi="Times New Roman" w:eastAsia="仿宋_GB2312" w:cs="Times New Roman"/>
          <w:kern w:val="1"/>
          <w:sz w:val="30"/>
          <w:szCs w:val="30"/>
          <w:lang w:val="en-US" w:eastAsia="zh-CN" w:bidi="ar"/>
        </w:rPr>
        <w:t>1-6</w:t>
      </w:r>
      <w:r>
        <w:rPr>
          <w:rFonts w:hint="eastAsia" w:ascii="仿宋_GB2312" w:hAnsi="Times New Roman" w:eastAsia="仿宋_GB2312" w:cs="仿宋_GB2312"/>
          <w:kern w:val="1"/>
          <w:sz w:val="30"/>
          <w:szCs w:val="30"/>
          <w:lang w:val="en-US" w:eastAsia="zh-CN" w:bidi="ar"/>
        </w:rPr>
        <w:t xml:space="preserve">月资金占用发生额 </w:t>
      </w:r>
      <w:r>
        <w:rPr>
          <w:rFonts w:hint="default" w:ascii="Times New Roman" w:hAnsi="Times New Roman" w:eastAsia="仿宋_GB2312" w:cs="Times New Roman"/>
          <w:kern w:val="1"/>
          <w:sz w:val="30"/>
          <w:szCs w:val="30"/>
          <w:lang w:val="en-US" w:eastAsia="zh-CN" w:bidi="ar"/>
        </w:rPr>
        <w:t>19,258.50</w:t>
      </w:r>
      <w:r>
        <w:rPr>
          <w:rFonts w:hint="eastAsia" w:ascii="仿宋_GB2312" w:hAnsi="Times New Roman" w:eastAsia="仿宋_GB2312" w:cs="仿宋_GB2312"/>
          <w:kern w:val="1"/>
          <w:sz w:val="30"/>
          <w:szCs w:val="30"/>
          <w:lang w:val="en-US" w:eastAsia="zh-CN" w:bidi="ar"/>
        </w:rPr>
        <w:t>万元，期末余额</w:t>
      </w:r>
      <w:r>
        <w:rPr>
          <w:rFonts w:hint="default" w:ascii="Times New Roman" w:hAnsi="Times New Roman" w:eastAsia="仿宋_GB2312" w:cs="Times New Roman"/>
          <w:kern w:val="1"/>
          <w:sz w:val="30"/>
          <w:szCs w:val="30"/>
          <w:lang w:val="en-US" w:eastAsia="zh-CN" w:bidi="ar"/>
        </w:rPr>
        <w:t>25,842.63</w:t>
      </w:r>
      <w:r>
        <w:rPr>
          <w:rFonts w:hint="eastAsia" w:ascii="仿宋_GB2312" w:hAnsi="Times New Roman" w:eastAsia="仿宋_GB2312" w:cs="仿宋_GB2312"/>
          <w:kern w:val="1"/>
          <w:sz w:val="30"/>
          <w:szCs w:val="30"/>
          <w:lang w:val="en-US" w:eastAsia="zh-CN" w:bidi="ar"/>
        </w:rPr>
        <w:t>万元，占公司当期净资产的比例分别为</w:t>
      </w:r>
      <w:r>
        <w:rPr>
          <w:rFonts w:hint="default" w:ascii="Times New Roman" w:hAnsi="Times New Roman" w:eastAsia="仿宋_GB2312" w:cs="Times New Roman"/>
          <w:kern w:val="1"/>
          <w:sz w:val="30"/>
          <w:szCs w:val="30"/>
          <w:lang w:val="en-US" w:eastAsia="zh-CN" w:bidi="ar"/>
        </w:rPr>
        <w:t>6.26%</w:t>
      </w:r>
      <w:r>
        <w:rPr>
          <w:rFonts w:hint="eastAsia" w:ascii="仿宋_GB2312" w:hAnsi="Times New Roman" w:eastAsia="仿宋_GB2312" w:cs="仿宋_GB2312"/>
          <w:kern w:val="1"/>
          <w:sz w:val="30"/>
          <w:szCs w:val="30"/>
          <w:lang w:val="en-US" w:eastAsia="zh-CN" w:bidi="ar"/>
        </w:rPr>
        <w:t>、</w:t>
      </w:r>
      <w:r>
        <w:rPr>
          <w:rFonts w:hint="default" w:ascii="Times New Roman" w:hAnsi="Times New Roman" w:eastAsia="仿宋_GB2312" w:cs="Times New Roman"/>
          <w:kern w:val="1"/>
          <w:sz w:val="30"/>
          <w:szCs w:val="30"/>
          <w:lang w:val="en-US" w:eastAsia="zh-CN" w:bidi="ar"/>
        </w:rPr>
        <w:t>8.40%</w:t>
      </w:r>
      <w:r>
        <w:rPr>
          <w:rFonts w:hint="eastAsia" w:ascii="仿宋_GB2312" w:hAnsi="Times New Roman" w:eastAsia="仿宋_GB2312" w:cs="仿宋_GB2312"/>
          <w:kern w:val="1"/>
          <w:sz w:val="30"/>
          <w:szCs w:val="30"/>
          <w:lang w:val="en-US" w:eastAsia="zh-CN" w:bidi="ar"/>
        </w:rPr>
        <w:t>。</w:t>
      </w:r>
      <w:bookmarkStart w:id="0" w:name="_GoBack"/>
      <w:bookmarkEnd w:id="0"/>
    </w:p>
    <w:p w14:paraId="7966509D">
      <w:pPr>
        <w:keepNext w:val="0"/>
        <w:keepLines w:val="0"/>
        <w:widowControl w:val="0"/>
        <w:suppressLineNumbers w:val="0"/>
        <w:suppressAutoHyphens/>
        <w:snapToGrid w:val="0"/>
        <w:spacing w:before="0" w:beforeAutospacing="0" w:after="0" w:afterAutospacing="0" w:line="560" w:lineRule="exact"/>
        <w:ind w:left="0" w:right="0" w:firstLine="600" w:firstLineChars="200"/>
        <w:jc w:val="both"/>
        <w:rPr>
          <w:rFonts w:hint="default" w:ascii="Times New Roman" w:hAnsi="Times New Roman" w:eastAsia="仿宋_GB2312" w:cs="Times New Roman"/>
          <w:kern w:val="1"/>
          <w:sz w:val="30"/>
          <w:szCs w:val="30"/>
        </w:rPr>
      </w:pPr>
      <w:r>
        <w:rPr>
          <w:rFonts w:hint="default" w:ascii="Times New Roman" w:hAnsi="Times New Roman" w:eastAsia="仿宋_GB2312" w:cs="Times New Roman"/>
          <w:kern w:val="1"/>
          <w:sz w:val="30"/>
          <w:szCs w:val="30"/>
          <w:lang w:val="en-US" w:eastAsia="zh-CN" w:bidi="ar"/>
        </w:rPr>
        <w:t>2023</w:t>
      </w:r>
      <w:r>
        <w:rPr>
          <w:rFonts w:hint="eastAsia" w:ascii="仿宋_GB2312" w:hAnsi="Times New Roman" w:eastAsia="仿宋_GB2312" w:cs="仿宋_GB2312"/>
          <w:kern w:val="1"/>
          <w:sz w:val="30"/>
          <w:szCs w:val="30"/>
          <w:lang w:val="en-US" w:eastAsia="zh-CN" w:bidi="ar"/>
        </w:rPr>
        <w:t>年至</w:t>
      </w:r>
      <w:r>
        <w:rPr>
          <w:rFonts w:hint="default" w:ascii="Times New Roman" w:hAnsi="Times New Roman" w:eastAsia="仿宋_GB2312" w:cs="Times New Roman"/>
          <w:kern w:val="1"/>
          <w:sz w:val="30"/>
          <w:szCs w:val="30"/>
          <w:lang w:val="en-US" w:eastAsia="zh-CN" w:bidi="ar"/>
        </w:rPr>
        <w:t>2024</w:t>
      </w:r>
      <w:r>
        <w:rPr>
          <w:rFonts w:hint="eastAsia" w:ascii="仿宋_GB2312" w:hAnsi="Times New Roman" w:eastAsia="仿宋_GB2312" w:cs="仿宋_GB2312"/>
          <w:kern w:val="1"/>
          <w:sz w:val="30"/>
          <w:szCs w:val="30"/>
          <w:lang w:val="en-US" w:eastAsia="zh-CN" w:bidi="ar"/>
        </w:rPr>
        <w:t>年期间，公司及其子公司与关联方宁夏恺力信、铜川安泰容发生原材料采购、委托加工、厂房和土地租赁等关联交易。其中</w:t>
      </w:r>
      <w:r>
        <w:rPr>
          <w:rFonts w:hint="default" w:ascii="Times New Roman" w:hAnsi="Times New Roman" w:eastAsia="仿宋_GB2312" w:cs="Times New Roman"/>
          <w:kern w:val="1"/>
          <w:sz w:val="30"/>
          <w:szCs w:val="30"/>
          <w:lang w:val="en-US" w:eastAsia="zh-CN" w:bidi="ar"/>
        </w:rPr>
        <w:t>2023</w:t>
      </w:r>
      <w:r>
        <w:rPr>
          <w:rFonts w:hint="eastAsia" w:ascii="仿宋_GB2312" w:hAnsi="Times New Roman" w:eastAsia="仿宋_GB2312" w:cs="仿宋_GB2312"/>
          <w:kern w:val="1"/>
          <w:sz w:val="30"/>
          <w:szCs w:val="30"/>
          <w:lang w:val="en-US" w:eastAsia="zh-CN" w:bidi="ar"/>
        </w:rPr>
        <w:t>年发生额</w:t>
      </w:r>
      <w:r>
        <w:rPr>
          <w:rFonts w:hint="default" w:ascii="Times New Roman" w:hAnsi="Times New Roman" w:eastAsia="仿宋_GB2312" w:cs="Times New Roman"/>
          <w:kern w:val="1"/>
          <w:sz w:val="30"/>
          <w:szCs w:val="30"/>
          <w:lang w:val="en-US" w:eastAsia="zh-CN" w:bidi="ar"/>
        </w:rPr>
        <w:t>30,556.15</w:t>
      </w:r>
      <w:r>
        <w:rPr>
          <w:rFonts w:hint="eastAsia" w:ascii="仿宋_GB2312" w:hAnsi="Times New Roman" w:eastAsia="仿宋_GB2312" w:cs="仿宋_GB2312"/>
          <w:kern w:val="1"/>
          <w:sz w:val="30"/>
          <w:szCs w:val="30"/>
          <w:lang w:val="en-US" w:eastAsia="zh-CN" w:bidi="ar"/>
        </w:rPr>
        <w:t>万元，占公司当期净资产的</w:t>
      </w:r>
      <w:r>
        <w:rPr>
          <w:rFonts w:hint="default" w:ascii="Times New Roman" w:hAnsi="Times New Roman" w:eastAsia="仿宋_GB2312" w:cs="Times New Roman"/>
          <w:kern w:val="1"/>
          <w:sz w:val="30"/>
          <w:szCs w:val="30"/>
          <w:lang w:val="en-US" w:eastAsia="zh-CN" w:bidi="ar"/>
        </w:rPr>
        <w:t>10.01%</w:t>
      </w:r>
      <w:r>
        <w:rPr>
          <w:rFonts w:hint="eastAsia" w:ascii="仿宋_GB2312" w:hAnsi="Times New Roman" w:eastAsia="仿宋_GB2312" w:cs="仿宋_GB2312"/>
          <w:kern w:val="1"/>
          <w:sz w:val="30"/>
          <w:szCs w:val="30"/>
          <w:lang w:val="en-US" w:eastAsia="zh-CN" w:bidi="ar"/>
        </w:rPr>
        <w:t>；</w:t>
      </w:r>
      <w:r>
        <w:rPr>
          <w:rFonts w:hint="default" w:ascii="Times New Roman" w:hAnsi="Times New Roman" w:eastAsia="仿宋_GB2312" w:cs="Times New Roman"/>
          <w:kern w:val="1"/>
          <w:sz w:val="30"/>
          <w:szCs w:val="30"/>
          <w:lang w:val="en-US" w:eastAsia="zh-CN" w:bidi="ar"/>
        </w:rPr>
        <w:t>2024</w:t>
      </w:r>
      <w:r>
        <w:rPr>
          <w:rFonts w:hint="eastAsia" w:ascii="仿宋_GB2312" w:hAnsi="Times New Roman" w:eastAsia="仿宋_GB2312" w:cs="仿宋_GB2312"/>
          <w:kern w:val="1"/>
          <w:sz w:val="30"/>
          <w:szCs w:val="30"/>
          <w:lang w:val="en-US" w:eastAsia="zh-CN" w:bidi="ar"/>
        </w:rPr>
        <w:t>年</w:t>
      </w:r>
      <w:r>
        <w:rPr>
          <w:rFonts w:hint="default" w:ascii="Times New Roman" w:hAnsi="Times New Roman" w:eastAsia="仿宋_GB2312" w:cs="Times New Roman"/>
          <w:kern w:val="1"/>
          <w:sz w:val="30"/>
          <w:szCs w:val="30"/>
          <w:lang w:val="en-US" w:eastAsia="zh-CN" w:bidi="ar"/>
        </w:rPr>
        <w:t>1-6</w:t>
      </w:r>
      <w:r>
        <w:rPr>
          <w:rFonts w:hint="eastAsia" w:ascii="仿宋_GB2312" w:hAnsi="Times New Roman" w:eastAsia="仿宋_GB2312" w:cs="仿宋_GB2312"/>
          <w:kern w:val="1"/>
          <w:sz w:val="30"/>
          <w:szCs w:val="30"/>
          <w:lang w:val="en-US" w:eastAsia="zh-CN" w:bidi="ar"/>
        </w:rPr>
        <w:t>月发生额</w:t>
      </w:r>
      <w:r>
        <w:rPr>
          <w:rFonts w:hint="default" w:ascii="Times New Roman" w:hAnsi="Times New Roman" w:eastAsia="仿宋_GB2312" w:cs="Times New Roman"/>
          <w:kern w:val="1"/>
          <w:sz w:val="30"/>
          <w:szCs w:val="30"/>
          <w:lang w:val="en-US" w:eastAsia="zh-CN" w:bidi="ar"/>
        </w:rPr>
        <w:t>655.39</w:t>
      </w:r>
      <w:r>
        <w:rPr>
          <w:rFonts w:hint="eastAsia" w:eastAsia="仿宋_GB2312" w:cs="Times New Roman"/>
          <w:kern w:val="1"/>
          <w:sz w:val="30"/>
          <w:szCs w:val="30"/>
          <w:lang w:val="en-US" w:eastAsia="zh-CN" w:bidi="ar"/>
        </w:rPr>
        <w:t>万</w:t>
      </w:r>
      <w:r>
        <w:rPr>
          <w:rFonts w:hint="eastAsia" w:ascii="仿宋_GB2312" w:hAnsi="Times New Roman" w:eastAsia="仿宋_GB2312" w:cs="仿宋_GB2312"/>
          <w:kern w:val="1"/>
          <w:sz w:val="30"/>
          <w:szCs w:val="30"/>
          <w:lang w:val="en-US" w:eastAsia="zh-CN" w:bidi="ar"/>
        </w:rPr>
        <w:t>元，占公司当期净资产的比例为</w:t>
      </w:r>
      <w:r>
        <w:rPr>
          <w:rFonts w:hint="default" w:ascii="Times New Roman" w:hAnsi="Times New Roman" w:eastAsia="仿宋_GB2312" w:cs="Times New Roman"/>
          <w:kern w:val="1"/>
          <w:sz w:val="30"/>
          <w:szCs w:val="30"/>
          <w:lang w:val="en-US" w:eastAsia="zh-CN" w:bidi="ar"/>
        </w:rPr>
        <w:t>0.21%</w:t>
      </w:r>
      <w:r>
        <w:rPr>
          <w:rFonts w:hint="eastAsia" w:ascii="仿宋_GB2312" w:hAnsi="Times New Roman" w:eastAsia="仿宋_GB2312" w:cs="仿宋_GB2312"/>
          <w:kern w:val="1"/>
          <w:sz w:val="30"/>
          <w:szCs w:val="30"/>
          <w:lang w:val="en-US" w:eastAsia="zh-CN" w:bidi="ar"/>
        </w:rPr>
        <w:t>。</w:t>
      </w:r>
    </w:p>
    <w:p w14:paraId="0F6B33DF">
      <w:pPr>
        <w:keepNext w:val="0"/>
        <w:keepLines w:val="0"/>
        <w:widowControl w:val="0"/>
        <w:suppressLineNumbers w:val="0"/>
        <w:suppressAutoHyphens/>
        <w:snapToGrid w:val="0"/>
        <w:spacing w:before="0" w:beforeAutospacing="0" w:after="0" w:afterAutospacing="0" w:line="560" w:lineRule="exact"/>
        <w:ind w:left="0" w:right="0" w:firstLine="600" w:firstLineChars="200"/>
        <w:jc w:val="both"/>
        <w:rPr>
          <w:rFonts w:hint="default" w:ascii="Times New Roman" w:hAnsi="Times New Roman" w:eastAsia="仿宋_GB2312" w:cs="Times New Roman"/>
          <w:kern w:val="1"/>
          <w:sz w:val="30"/>
          <w:szCs w:val="30"/>
        </w:rPr>
      </w:pPr>
      <w:r>
        <w:rPr>
          <w:rFonts w:hint="eastAsia" w:ascii="仿宋_GB2312" w:hAnsi="Times New Roman" w:eastAsia="仿宋_GB2312" w:cs="仿宋_GB2312"/>
          <w:kern w:val="1"/>
          <w:sz w:val="30"/>
          <w:szCs w:val="30"/>
          <w:lang w:val="en-US" w:eastAsia="zh-CN" w:bidi="ar"/>
        </w:rPr>
        <w:t>上述事项，公司未按规定及时披露，亦未在</w:t>
      </w:r>
      <w:r>
        <w:rPr>
          <w:rFonts w:hint="default" w:ascii="Times New Roman" w:hAnsi="Times New Roman" w:eastAsia="仿宋_GB2312" w:cs="Times New Roman"/>
          <w:kern w:val="1"/>
          <w:sz w:val="30"/>
          <w:szCs w:val="30"/>
          <w:lang w:val="en-US" w:eastAsia="zh-CN" w:bidi="ar"/>
        </w:rPr>
        <w:t>2023</w:t>
      </w:r>
      <w:r>
        <w:rPr>
          <w:rFonts w:hint="eastAsia" w:ascii="仿宋_GB2312" w:hAnsi="Times New Roman" w:eastAsia="仿宋_GB2312" w:cs="仿宋_GB2312"/>
          <w:kern w:val="1"/>
          <w:sz w:val="30"/>
          <w:szCs w:val="30"/>
          <w:lang w:val="en-US" w:eastAsia="zh-CN" w:bidi="ar"/>
        </w:rPr>
        <w:t>年年度报告、</w:t>
      </w:r>
      <w:r>
        <w:rPr>
          <w:rFonts w:hint="default" w:ascii="Times New Roman" w:hAnsi="Times New Roman" w:eastAsia="仿宋_GB2312" w:cs="Times New Roman"/>
          <w:kern w:val="1"/>
          <w:sz w:val="30"/>
          <w:szCs w:val="30"/>
          <w:lang w:val="en-US" w:eastAsia="zh-CN" w:bidi="ar"/>
        </w:rPr>
        <w:t>2024</w:t>
      </w:r>
      <w:r>
        <w:rPr>
          <w:rFonts w:hint="eastAsia" w:ascii="仿宋_GB2312" w:hAnsi="Times New Roman" w:eastAsia="仿宋_GB2312" w:cs="仿宋_GB2312"/>
          <w:kern w:val="1"/>
          <w:sz w:val="30"/>
          <w:szCs w:val="30"/>
          <w:lang w:val="en-US" w:eastAsia="zh-CN" w:bidi="ar"/>
        </w:rPr>
        <w:t>年半年度报告真实、准确、完整披露，导致相关定期报告存在虚假记载、重大遗漏。公司</w:t>
      </w:r>
      <w:r>
        <w:rPr>
          <w:rFonts w:hint="default" w:ascii="Times New Roman" w:hAnsi="Times New Roman" w:eastAsia="仿宋_GB2312" w:cs="Times New Roman"/>
          <w:kern w:val="1"/>
          <w:sz w:val="30"/>
          <w:szCs w:val="30"/>
          <w:lang w:val="en-US" w:eastAsia="zh-CN" w:bidi="ar"/>
        </w:rPr>
        <w:t>2024</w:t>
      </w:r>
      <w:r>
        <w:rPr>
          <w:rFonts w:hint="eastAsia" w:ascii="仿宋_GB2312" w:hAnsi="Times New Roman" w:eastAsia="仿宋_GB2312" w:cs="仿宋_GB2312"/>
          <w:kern w:val="1"/>
          <w:sz w:val="30"/>
          <w:szCs w:val="30"/>
          <w:lang w:val="en-US" w:eastAsia="zh-CN" w:bidi="ar"/>
        </w:rPr>
        <w:t>年年度报告已披露报告期内控股股东资金占用发生额</w:t>
      </w:r>
      <w:r>
        <w:rPr>
          <w:rFonts w:hint="default" w:ascii="Times New Roman" w:hAnsi="Times New Roman" w:eastAsia="仿宋_GB2312" w:cs="Times New Roman"/>
          <w:kern w:val="1"/>
          <w:sz w:val="30"/>
          <w:szCs w:val="30"/>
          <w:lang w:val="en-US" w:eastAsia="zh-CN" w:bidi="ar"/>
        </w:rPr>
        <w:t>19,258.50</w:t>
      </w:r>
      <w:r>
        <w:rPr>
          <w:rFonts w:hint="eastAsia" w:ascii="仿宋_GB2312" w:hAnsi="Times New Roman" w:eastAsia="仿宋_GB2312" w:cs="仿宋_GB2312"/>
          <w:kern w:val="1"/>
          <w:sz w:val="30"/>
          <w:szCs w:val="30"/>
          <w:lang w:val="en-US" w:eastAsia="zh-CN" w:bidi="ar"/>
        </w:rPr>
        <w:t>万元。截至</w:t>
      </w:r>
      <w:r>
        <w:rPr>
          <w:rFonts w:hint="default" w:ascii="Times New Roman" w:hAnsi="Times New Roman" w:eastAsia="仿宋_GB2312" w:cs="Times New Roman"/>
          <w:kern w:val="1"/>
          <w:sz w:val="30"/>
          <w:szCs w:val="30"/>
          <w:lang w:val="en-US" w:eastAsia="zh-CN" w:bidi="ar"/>
        </w:rPr>
        <w:t>2025</w:t>
      </w:r>
      <w:r>
        <w:rPr>
          <w:rFonts w:hint="eastAsia" w:ascii="仿宋_GB2312" w:hAnsi="Times New Roman" w:eastAsia="仿宋_GB2312" w:cs="仿宋_GB2312"/>
          <w:kern w:val="1"/>
          <w:sz w:val="30"/>
          <w:szCs w:val="30"/>
          <w:lang w:val="en-US" w:eastAsia="zh-CN" w:bidi="ar"/>
        </w:rPr>
        <w:t>年</w:t>
      </w:r>
      <w:r>
        <w:rPr>
          <w:rFonts w:hint="default" w:ascii="Times New Roman" w:hAnsi="Times New Roman" w:eastAsia="仿宋_GB2312" w:cs="Times New Roman"/>
          <w:kern w:val="1"/>
          <w:sz w:val="30"/>
          <w:szCs w:val="30"/>
          <w:lang w:val="en-US" w:eastAsia="zh-CN" w:bidi="ar"/>
        </w:rPr>
        <w:t>5</w:t>
      </w:r>
      <w:r>
        <w:rPr>
          <w:rFonts w:hint="eastAsia" w:ascii="仿宋_GB2312" w:hAnsi="Times New Roman" w:eastAsia="仿宋_GB2312" w:cs="仿宋_GB2312"/>
          <w:kern w:val="1"/>
          <w:sz w:val="30"/>
          <w:szCs w:val="30"/>
          <w:lang w:val="en-US" w:eastAsia="zh-CN" w:bidi="ar"/>
        </w:rPr>
        <w:t>月立案调查日，案涉占用资金已全部归还。</w:t>
      </w:r>
    </w:p>
    <w:p w14:paraId="69634070">
      <w:pPr>
        <w:keepNext w:val="0"/>
        <w:keepLines w:val="0"/>
        <w:widowControl w:val="0"/>
        <w:suppressLineNumbers w:val="0"/>
        <w:suppressAutoHyphens/>
        <w:snapToGrid w:val="0"/>
        <w:spacing w:before="0" w:beforeAutospacing="0" w:after="0" w:afterAutospacing="0" w:line="560" w:lineRule="exact"/>
        <w:ind w:left="0" w:right="0" w:firstLine="600" w:firstLineChars="200"/>
        <w:jc w:val="both"/>
        <w:rPr>
          <w:rFonts w:hint="default" w:ascii="Times New Roman" w:hAnsi="Times New Roman" w:eastAsia="仿宋_GB2312" w:cs="Times New Roman"/>
          <w:kern w:val="1"/>
          <w:sz w:val="30"/>
          <w:szCs w:val="30"/>
        </w:rPr>
      </w:pPr>
      <w:r>
        <w:rPr>
          <w:rFonts w:hint="eastAsia" w:ascii="仿宋_GB2312" w:hAnsi="Times New Roman" w:eastAsia="仿宋_GB2312" w:cs="仿宋_GB2312"/>
          <w:kern w:val="1"/>
          <w:sz w:val="30"/>
          <w:szCs w:val="30"/>
          <w:lang w:val="en-US" w:eastAsia="zh-CN" w:bidi="ar"/>
        </w:rPr>
        <w:t>综上，公司未按规定披露控股股东非经营性资金占用、关联交易，违反了《中华人民共和国证券法》（以下简称《证券法》）第七十八条、第八十条，《上市公司监管指引第</w:t>
      </w:r>
      <w:r>
        <w:rPr>
          <w:rFonts w:hint="default" w:ascii="Times New Roman" w:hAnsi="Times New Roman" w:eastAsia="仿宋_GB2312" w:cs="Times New Roman"/>
          <w:kern w:val="1"/>
          <w:sz w:val="30"/>
          <w:szCs w:val="30"/>
          <w:lang w:val="en-US" w:eastAsia="zh-CN" w:bidi="ar"/>
        </w:rPr>
        <w:t>8</w:t>
      </w:r>
      <w:r>
        <w:rPr>
          <w:rFonts w:hint="eastAsia" w:ascii="仿宋_GB2312" w:hAnsi="Times New Roman" w:eastAsia="仿宋_GB2312" w:cs="仿宋_GB2312"/>
          <w:kern w:val="1"/>
          <w:sz w:val="30"/>
          <w:szCs w:val="30"/>
          <w:lang w:val="en-US" w:eastAsia="zh-CN" w:bidi="ar"/>
        </w:rPr>
        <w:t>号——上市公司资金往来、对外担保的监管要求》第五条，《上海证券交易所股票上市规则（</w:t>
      </w:r>
      <w:r>
        <w:rPr>
          <w:rFonts w:hint="default" w:ascii="Times New Roman" w:hAnsi="Times New Roman" w:eastAsia="仿宋_GB2312" w:cs="Times New Roman"/>
          <w:kern w:val="1"/>
          <w:sz w:val="30"/>
          <w:szCs w:val="30"/>
          <w:lang w:val="en-US" w:eastAsia="zh-CN" w:bidi="ar"/>
        </w:rPr>
        <w:t>2024</w:t>
      </w:r>
      <w:r>
        <w:rPr>
          <w:rFonts w:hint="eastAsia" w:ascii="仿宋_GB2312" w:hAnsi="Times New Roman" w:eastAsia="仿宋_GB2312" w:cs="仿宋_GB2312"/>
          <w:kern w:val="1"/>
          <w:sz w:val="30"/>
          <w:szCs w:val="30"/>
          <w:lang w:val="en-US" w:eastAsia="zh-CN" w:bidi="ar"/>
        </w:rPr>
        <w:t>年</w:t>
      </w:r>
      <w:r>
        <w:rPr>
          <w:rFonts w:hint="default" w:ascii="Times New Roman" w:hAnsi="Times New Roman" w:eastAsia="仿宋_GB2312" w:cs="Times New Roman"/>
          <w:kern w:val="1"/>
          <w:sz w:val="30"/>
          <w:szCs w:val="30"/>
          <w:lang w:val="en-US" w:eastAsia="zh-CN" w:bidi="ar"/>
        </w:rPr>
        <w:t>4</w:t>
      </w:r>
      <w:r>
        <w:rPr>
          <w:rFonts w:hint="eastAsia" w:ascii="仿宋_GB2312" w:hAnsi="Times New Roman" w:eastAsia="仿宋_GB2312" w:cs="仿宋_GB2312"/>
          <w:kern w:val="1"/>
          <w:sz w:val="30"/>
          <w:szCs w:val="30"/>
          <w:lang w:val="en-US" w:eastAsia="zh-CN" w:bidi="ar"/>
        </w:rPr>
        <w:t>月修订）》（以下简称《股票上市规则（</w:t>
      </w:r>
      <w:r>
        <w:rPr>
          <w:rFonts w:hint="default" w:ascii="Times New Roman" w:hAnsi="Times New Roman" w:eastAsia="仿宋_GB2312" w:cs="Times New Roman"/>
          <w:kern w:val="1"/>
          <w:sz w:val="30"/>
          <w:szCs w:val="30"/>
          <w:lang w:val="en-US" w:eastAsia="zh-CN" w:bidi="ar"/>
        </w:rPr>
        <w:t>2024</w:t>
      </w:r>
      <w:r>
        <w:rPr>
          <w:rFonts w:hint="eastAsia" w:ascii="仿宋_GB2312" w:hAnsi="Times New Roman" w:eastAsia="仿宋_GB2312" w:cs="仿宋_GB2312"/>
          <w:kern w:val="1"/>
          <w:sz w:val="30"/>
          <w:szCs w:val="30"/>
          <w:lang w:val="en-US" w:eastAsia="zh-CN" w:bidi="ar"/>
        </w:rPr>
        <w:t>年</w:t>
      </w:r>
      <w:r>
        <w:rPr>
          <w:rFonts w:hint="default" w:ascii="Times New Roman" w:hAnsi="Times New Roman" w:eastAsia="仿宋_GB2312" w:cs="Times New Roman"/>
          <w:kern w:val="1"/>
          <w:sz w:val="30"/>
          <w:szCs w:val="30"/>
          <w:lang w:val="en-US" w:eastAsia="zh-CN" w:bidi="ar"/>
        </w:rPr>
        <w:t>4</w:t>
      </w:r>
      <w:r>
        <w:rPr>
          <w:rFonts w:hint="eastAsia" w:ascii="仿宋_GB2312" w:hAnsi="Times New Roman" w:eastAsia="仿宋_GB2312" w:cs="仿宋_GB2312"/>
          <w:kern w:val="1"/>
          <w:sz w:val="30"/>
          <w:szCs w:val="30"/>
          <w:lang w:val="en-US" w:eastAsia="zh-CN" w:bidi="ar"/>
        </w:rPr>
        <w:t>月修订）》）第</w:t>
      </w:r>
      <w:r>
        <w:rPr>
          <w:rFonts w:hint="default" w:ascii="Times New Roman" w:hAnsi="Times New Roman" w:eastAsia="仿宋_GB2312" w:cs="Times New Roman"/>
          <w:kern w:val="1"/>
          <w:sz w:val="30"/>
          <w:szCs w:val="30"/>
          <w:lang w:val="en-US" w:eastAsia="zh-CN" w:bidi="ar"/>
        </w:rPr>
        <w:t>1.4</w:t>
      </w:r>
      <w:r>
        <w:rPr>
          <w:rFonts w:hint="eastAsia" w:ascii="仿宋_GB2312" w:hAnsi="Times New Roman" w:eastAsia="仿宋_GB2312" w:cs="仿宋_GB2312"/>
          <w:kern w:val="1"/>
          <w:sz w:val="30"/>
          <w:szCs w:val="30"/>
          <w:lang w:val="en-US" w:eastAsia="zh-CN" w:bidi="ar"/>
        </w:rPr>
        <w:t>条、第</w:t>
      </w:r>
      <w:r>
        <w:rPr>
          <w:rFonts w:hint="default" w:ascii="Times New Roman" w:hAnsi="Times New Roman" w:eastAsia="仿宋_GB2312" w:cs="Times New Roman"/>
          <w:kern w:val="1"/>
          <w:sz w:val="30"/>
          <w:szCs w:val="30"/>
          <w:lang w:val="en-US" w:eastAsia="zh-CN" w:bidi="ar"/>
        </w:rPr>
        <w:t>2.1.1</w:t>
      </w:r>
      <w:r>
        <w:rPr>
          <w:rFonts w:hint="eastAsia" w:ascii="仿宋_GB2312" w:hAnsi="Times New Roman" w:eastAsia="仿宋_GB2312" w:cs="仿宋_GB2312"/>
          <w:kern w:val="1"/>
          <w:sz w:val="30"/>
          <w:szCs w:val="30"/>
          <w:lang w:val="en-US" w:eastAsia="zh-CN" w:bidi="ar"/>
        </w:rPr>
        <w:t>条、第</w:t>
      </w:r>
      <w:r>
        <w:rPr>
          <w:rFonts w:hint="default" w:ascii="Times New Roman" w:hAnsi="Times New Roman" w:eastAsia="仿宋_GB2312" w:cs="Times New Roman"/>
          <w:kern w:val="1"/>
          <w:sz w:val="30"/>
          <w:szCs w:val="30"/>
          <w:lang w:val="en-US" w:eastAsia="zh-CN" w:bidi="ar"/>
        </w:rPr>
        <w:t>2.1.4</w:t>
      </w:r>
      <w:r>
        <w:rPr>
          <w:rFonts w:hint="eastAsia" w:ascii="仿宋_GB2312" w:hAnsi="Times New Roman" w:eastAsia="仿宋_GB2312" w:cs="仿宋_GB2312"/>
          <w:kern w:val="1"/>
          <w:sz w:val="30"/>
          <w:szCs w:val="30"/>
          <w:lang w:val="en-US" w:eastAsia="zh-CN" w:bidi="ar"/>
        </w:rPr>
        <w:t>条、第</w:t>
      </w:r>
      <w:r>
        <w:rPr>
          <w:rFonts w:hint="default" w:ascii="Times New Roman" w:hAnsi="Times New Roman" w:eastAsia="仿宋_GB2312" w:cs="Times New Roman"/>
          <w:kern w:val="1"/>
          <w:sz w:val="30"/>
          <w:szCs w:val="30"/>
          <w:lang w:val="en-US" w:eastAsia="zh-CN" w:bidi="ar"/>
        </w:rPr>
        <w:t>2.1.6</w:t>
      </w:r>
      <w:r>
        <w:rPr>
          <w:rFonts w:hint="eastAsia" w:ascii="仿宋_GB2312" w:hAnsi="Times New Roman" w:eastAsia="仿宋_GB2312" w:cs="仿宋_GB2312"/>
          <w:kern w:val="1"/>
          <w:sz w:val="30"/>
          <w:szCs w:val="30"/>
          <w:lang w:val="en-US" w:eastAsia="zh-CN" w:bidi="ar"/>
        </w:rPr>
        <w:t>条、第</w:t>
      </w:r>
      <w:r>
        <w:rPr>
          <w:rFonts w:hint="default" w:ascii="Times New Roman" w:hAnsi="Times New Roman" w:eastAsia="仿宋_GB2312" w:cs="Times New Roman"/>
          <w:kern w:val="1"/>
          <w:sz w:val="30"/>
          <w:szCs w:val="30"/>
          <w:lang w:val="en-US" w:eastAsia="zh-CN" w:bidi="ar"/>
        </w:rPr>
        <w:t>2.1.7</w:t>
      </w:r>
      <w:r>
        <w:rPr>
          <w:rFonts w:hint="eastAsia" w:ascii="仿宋_GB2312" w:hAnsi="Times New Roman" w:eastAsia="仿宋_GB2312" w:cs="仿宋_GB2312"/>
          <w:kern w:val="1"/>
          <w:sz w:val="30"/>
          <w:szCs w:val="30"/>
          <w:lang w:val="en-US" w:eastAsia="zh-CN" w:bidi="ar"/>
        </w:rPr>
        <w:t>条、第</w:t>
      </w:r>
      <w:r>
        <w:rPr>
          <w:rFonts w:hint="default" w:ascii="Times New Roman" w:hAnsi="Times New Roman" w:eastAsia="仿宋_GB2312" w:cs="Times New Roman"/>
          <w:kern w:val="1"/>
          <w:sz w:val="30"/>
          <w:szCs w:val="30"/>
          <w:lang w:val="en-US" w:eastAsia="zh-CN" w:bidi="ar"/>
        </w:rPr>
        <w:t>4.1.3</w:t>
      </w:r>
      <w:r>
        <w:rPr>
          <w:rFonts w:hint="eastAsia" w:ascii="仿宋_GB2312" w:hAnsi="Times New Roman" w:eastAsia="仿宋_GB2312" w:cs="仿宋_GB2312"/>
          <w:kern w:val="1"/>
          <w:sz w:val="30"/>
          <w:szCs w:val="30"/>
          <w:lang w:val="en-US" w:eastAsia="zh-CN" w:bidi="ar"/>
        </w:rPr>
        <w:t>条、第</w:t>
      </w:r>
      <w:r>
        <w:rPr>
          <w:rFonts w:hint="default" w:ascii="Times New Roman" w:hAnsi="Times New Roman" w:eastAsia="仿宋_GB2312" w:cs="Times New Roman"/>
          <w:kern w:val="1"/>
          <w:sz w:val="30"/>
          <w:szCs w:val="30"/>
          <w:lang w:val="en-US" w:eastAsia="zh-CN" w:bidi="ar"/>
        </w:rPr>
        <w:t>6.3.1</w:t>
      </w:r>
      <w:r>
        <w:rPr>
          <w:rFonts w:hint="eastAsia" w:ascii="仿宋_GB2312" w:hAnsi="Times New Roman" w:eastAsia="仿宋_GB2312" w:cs="仿宋_GB2312"/>
          <w:kern w:val="1"/>
          <w:sz w:val="30"/>
          <w:szCs w:val="30"/>
          <w:lang w:val="en-US" w:eastAsia="zh-CN" w:bidi="ar"/>
        </w:rPr>
        <w:t>条，《上海证券交易所股票上市规则（</w:t>
      </w:r>
      <w:r>
        <w:rPr>
          <w:rFonts w:hint="default" w:ascii="Times New Roman" w:hAnsi="Times New Roman" w:eastAsia="仿宋_GB2312" w:cs="Times New Roman"/>
          <w:kern w:val="1"/>
          <w:sz w:val="30"/>
          <w:szCs w:val="30"/>
          <w:lang w:val="en-US" w:eastAsia="zh-CN" w:bidi="ar"/>
        </w:rPr>
        <w:t>2025</w:t>
      </w:r>
      <w:r>
        <w:rPr>
          <w:rFonts w:hint="eastAsia" w:ascii="仿宋_GB2312" w:hAnsi="Times New Roman" w:eastAsia="仿宋_GB2312" w:cs="仿宋_GB2312"/>
          <w:kern w:val="1"/>
          <w:sz w:val="30"/>
          <w:szCs w:val="30"/>
          <w:lang w:val="en-US" w:eastAsia="zh-CN" w:bidi="ar"/>
        </w:rPr>
        <w:t>年</w:t>
      </w:r>
      <w:r>
        <w:rPr>
          <w:rFonts w:hint="default" w:ascii="Times New Roman" w:hAnsi="Times New Roman" w:eastAsia="仿宋_GB2312" w:cs="Times New Roman"/>
          <w:kern w:val="1"/>
          <w:sz w:val="30"/>
          <w:szCs w:val="30"/>
          <w:lang w:val="en-US" w:eastAsia="zh-CN" w:bidi="ar"/>
        </w:rPr>
        <w:t>4</w:t>
      </w:r>
      <w:r>
        <w:rPr>
          <w:rFonts w:hint="eastAsia" w:ascii="仿宋_GB2312" w:hAnsi="Times New Roman" w:eastAsia="仿宋_GB2312" w:cs="仿宋_GB2312"/>
          <w:kern w:val="1"/>
          <w:sz w:val="30"/>
          <w:szCs w:val="30"/>
          <w:lang w:val="en-US" w:eastAsia="zh-CN" w:bidi="ar"/>
        </w:rPr>
        <w:t>月修订）》（以下简称《股票上市规则（</w:t>
      </w:r>
      <w:r>
        <w:rPr>
          <w:rFonts w:hint="default" w:ascii="Times New Roman" w:hAnsi="Times New Roman" w:eastAsia="仿宋_GB2312" w:cs="Times New Roman"/>
          <w:kern w:val="1"/>
          <w:sz w:val="30"/>
          <w:szCs w:val="30"/>
          <w:lang w:val="en-US" w:eastAsia="zh-CN" w:bidi="ar"/>
        </w:rPr>
        <w:t>2025</w:t>
      </w:r>
      <w:r>
        <w:rPr>
          <w:rFonts w:hint="eastAsia" w:ascii="仿宋_GB2312" w:hAnsi="Times New Roman" w:eastAsia="仿宋_GB2312" w:cs="仿宋_GB2312"/>
          <w:kern w:val="1"/>
          <w:sz w:val="30"/>
          <w:szCs w:val="30"/>
          <w:lang w:val="en-US" w:eastAsia="zh-CN" w:bidi="ar"/>
        </w:rPr>
        <w:t>年</w:t>
      </w:r>
      <w:r>
        <w:rPr>
          <w:rFonts w:hint="default" w:ascii="Times New Roman" w:hAnsi="Times New Roman" w:eastAsia="仿宋_GB2312" w:cs="Times New Roman"/>
          <w:kern w:val="1"/>
          <w:sz w:val="30"/>
          <w:szCs w:val="30"/>
          <w:lang w:val="en-US" w:eastAsia="zh-CN" w:bidi="ar"/>
        </w:rPr>
        <w:t>4</w:t>
      </w:r>
      <w:r>
        <w:rPr>
          <w:rFonts w:hint="eastAsia" w:ascii="仿宋_GB2312" w:hAnsi="Times New Roman" w:eastAsia="仿宋_GB2312" w:cs="仿宋_GB2312"/>
          <w:kern w:val="1"/>
          <w:sz w:val="30"/>
          <w:szCs w:val="30"/>
          <w:lang w:val="en-US" w:eastAsia="zh-CN" w:bidi="ar"/>
        </w:rPr>
        <w:t>月修订）》）第</w:t>
      </w:r>
      <w:r>
        <w:rPr>
          <w:rFonts w:hint="default" w:ascii="Times New Roman" w:hAnsi="Times New Roman" w:eastAsia="仿宋_GB2312" w:cs="Times New Roman"/>
          <w:kern w:val="1"/>
          <w:sz w:val="30"/>
          <w:szCs w:val="30"/>
          <w:lang w:val="en-US" w:eastAsia="zh-CN" w:bidi="ar"/>
        </w:rPr>
        <w:t>1.4</w:t>
      </w:r>
      <w:r>
        <w:rPr>
          <w:rFonts w:hint="eastAsia" w:ascii="仿宋_GB2312" w:hAnsi="Times New Roman" w:eastAsia="仿宋_GB2312" w:cs="仿宋_GB2312"/>
          <w:kern w:val="1"/>
          <w:sz w:val="30"/>
          <w:szCs w:val="30"/>
          <w:lang w:val="en-US" w:eastAsia="zh-CN" w:bidi="ar"/>
        </w:rPr>
        <w:t>条、第</w:t>
      </w:r>
      <w:r>
        <w:rPr>
          <w:rFonts w:hint="default" w:ascii="Times New Roman" w:hAnsi="Times New Roman" w:eastAsia="仿宋_GB2312" w:cs="Times New Roman"/>
          <w:kern w:val="1"/>
          <w:sz w:val="30"/>
          <w:szCs w:val="30"/>
          <w:lang w:val="en-US" w:eastAsia="zh-CN" w:bidi="ar"/>
        </w:rPr>
        <w:t>2.1.1</w:t>
      </w:r>
      <w:r>
        <w:rPr>
          <w:rFonts w:hint="eastAsia" w:ascii="仿宋_GB2312" w:hAnsi="Times New Roman" w:eastAsia="仿宋_GB2312" w:cs="仿宋_GB2312"/>
          <w:kern w:val="1"/>
          <w:sz w:val="30"/>
          <w:szCs w:val="30"/>
          <w:lang w:val="en-US" w:eastAsia="zh-CN" w:bidi="ar"/>
        </w:rPr>
        <w:t>条、第</w:t>
      </w:r>
      <w:r>
        <w:rPr>
          <w:rFonts w:hint="default" w:ascii="Times New Roman" w:hAnsi="Times New Roman" w:eastAsia="仿宋_GB2312" w:cs="Times New Roman"/>
          <w:kern w:val="1"/>
          <w:sz w:val="30"/>
          <w:szCs w:val="30"/>
          <w:lang w:val="en-US" w:eastAsia="zh-CN" w:bidi="ar"/>
        </w:rPr>
        <w:t>2.1.4</w:t>
      </w:r>
      <w:r>
        <w:rPr>
          <w:rFonts w:hint="eastAsia" w:ascii="仿宋_GB2312" w:hAnsi="Times New Roman" w:eastAsia="仿宋_GB2312" w:cs="仿宋_GB2312"/>
          <w:kern w:val="1"/>
          <w:sz w:val="30"/>
          <w:szCs w:val="30"/>
          <w:lang w:val="en-US" w:eastAsia="zh-CN" w:bidi="ar"/>
        </w:rPr>
        <w:t>条、第</w:t>
      </w:r>
      <w:r>
        <w:rPr>
          <w:rFonts w:hint="default" w:ascii="Times New Roman" w:hAnsi="Times New Roman" w:eastAsia="仿宋_GB2312" w:cs="Times New Roman"/>
          <w:kern w:val="1"/>
          <w:sz w:val="30"/>
          <w:szCs w:val="30"/>
          <w:lang w:val="en-US" w:eastAsia="zh-CN" w:bidi="ar"/>
        </w:rPr>
        <w:t>2.1.6</w:t>
      </w:r>
      <w:r>
        <w:rPr>
          <w:rFonts w:hint="eastAsia" w:ascii="仿宋_GB2312" w:hAnsi="Times New Roman" w:eastAsia="仿宋_GB2312" w:cs="仿宋_GB2312"/>
          <w:kern w:val="1"/>
          <w:sz w:val="30"/>
          <w:szCs w:val="30"/>
          <w:lang w:val="en-US" w:eastAsia="zh-CN" w:bidi="ar"/>
        </w:rPr>
        <w:t>条、第</w:t>
      </w:r>
      <w:r>
        <w:rPr>
          <w:rFonts w:hint="default" w:ascii="Times New Roman" w:hAnsi="Times New Roman" w:eastAsia="仿宋_GB2312" w:cs="Times New Roman"/>
          <w:kern w:val="1"/>
          <w:sz w:val="30"/>
          <w:szCs w:val="30"/>
          <w:lang w:val="en-US" w:eastAsia="zh-CN" w:bidi="ar"/>
        </w:rPr>
        <w:t>2.1.7</w:t>
      </w:r>
      <w:r>
        <w:rPr>
          <w:rFonts w:hint="eastAsia" w:ascii="仿宋_GB2312" w:hAnsi="Times New Roman" w:eastAsia="仿宋_GB2312" w:cs="仿宋_GB2312"/>
          <w:kern w:val="1"/>
          <w:sz w:val="30"/>
          <w:szCs w:val="30"/>
          <w:lang w:val="en-US" w:eastAsia="zh-CN" w:bidi="ar"/>
        </w:rPr>
        <w:t>条、第</w:t>
      </w:r>
      <w:r>
        <w:rPr>
          <w:rFonts w:hint="default" w:ascii="Times New Roman" w:hAnsi="Times New Roman" w:eastAsia="仿宋_GB2312" w:cs="Times New Roman"/>
          <w:kern w:val="1"/>
          <w:sz w:val="30"/>
          <w:szCs w:val="30"/>
          <w:lang w:val="en-US" w:eastAsia="zh-CN" w:bidi="ar"/>
        </w:rPr>
        <w:t>4.1.3</w:t>
      </w:r>
      <w:r>
        <w:rPr>
          <w:rFonts w:hint="eastAsia" w:ascii="仿宋_GB2312" w:hAnsi="Times New Roman" w:eastAsia="仿宋_GB2312" w:cs="仿宋_GB2312"/>
          <w:kern w:val="1"/>
          <w:sz w:val="30"/>
          <w:szCs w:val="30"/>
          <w:lang w:val="en-US" w:eastAsia="zh-CN" w:bidi="ar"/>
        </w:rPr>
        <w:t>条、第</w:t>
      </w:r>
      <w:r>
        <w:rPr>
          <w:rFonts w:hint="default" w:ascii="Times New Roman" w:hAnsi="Times New Roman" w:eastAsia="仿宋_GB2312" w:cs="Times New Roman"/>
          <w:kern w:val="1"/>
          <w:sz w:val="30"/>
          <w:szCs w:val="30"/>
          <w:lang w:val="en-US" w:eastAsia="zh-CN" w:bidi="ar"/>
        </w:rPr>
        <w:t>6.3.1</w:t>
      </w:r>
      <w:r>
        <w:rPr>
          <w:rFonts w:hint="eastAsia" w:ascii="仿宋_GB2312" w:hAnsi="Times New Roman" w:eastAsia="仿宋_GB2312" w:cs="仿宋_GB2312"/>
          <w:kern w:val="1"/>
          <w:sz w:val="30"/>
          <w:szCs w:val="30"/>
          <w:lang w:val="en-US" w:eastAsia="zh-CN" w:bidi="ar"/>
        </w:rPr>
        <w:t>条等有关规定。</w:t>
      </w:r>
    </w:p>
    <w:p w14:paraId="2F33EF77">
      <w:pPr>
        <w:snapToGrid w:val="0"/>
        <w:spacing w:line="560" w:lineRule="exact"/>
        <w:ind w:firstLine="600"/>
        <w:jc w:val="both"/>
        <w:rPr>
          <w:rFonts w:hint="eastAsia" w:eastAsia="仿宋_GB2312" w:cs="Times New Roman"/>
          <w:sz w:val="30"/>
          <w:szCs w:val="30"/>
          <w:shd w:val="clear" w:color="auto" w:fill="auto"/>
          <w:lang w:eastAsia="zh-CN"/>
        </w:rPr>
      </w:pPr>
      <w:r>
        <w:rPr>
          <w:rFonts w:hint="eastAsia" w:eastAsia="仿宋_GB2312" w:cs="Times New Roman"/>
          <w:sz w:val="30"/>
          <w:szCs w:val="30"/>
          <w:shd w:val="clear" w:color="auto" w:fill="auto"/>
          <w:lang w:eastAsia="zh-CN"/>
        </w:rPr>
        <w:t>责任人方面，</w:t>
      </w:r>
      <w:r>
        <w:rPr>
          <w:rFonts w:hint="default" w:ascii="Times New Roman" w:hAnsi="Times New Roman" w:eastAsia="仿宋_GB2312" w:cs="Times New Roman"/>
          <w:sz w:val="30"/>
          <w:szCs w:val="30"/>
          <w:shd w:val="clear" w:color="auto" w:fill="auto"/>
          <w:lang w:eastAsia="zh-CN"/>
        </w:rPr>
        <w:t>根据</w:t>
      </w:r>
      <w:r>
        <w:rPr>
          <w:rFonts w:hint="default" w:ascii="Times New Roman" w:hAnsi="Times New Roman" w:eastAsia="仿宋_GB2312" w:cs="Times New Roman"/>
          <w:sz w:val="30"/>
          <w:szCs w:val="30"/>
          <w:lang w:eastAsia="zh-CN"/>
        </w:rPr>
        <w:t>《行政处罚事先告知书》</w:t>
      </w:r>
      <w:r>
        <w:rPr>
          <w:rFonts w:hint="default" w:ascii="Times New Roman" w:hAnsi="Times New Roman" w:eastAsia="仿宋_GB2312" w:cs="Times New Roman"/>
          <w:sz w:val="30"/>
          <w:szCs w:val="30"/>
          <w:shd w:val="clear" w:color="auto" w:fill="auto"/>
          <w:lang w:eastAsia="zh-CN"/>
        </w:rPr>
        <w:t>认定，高鑫金控时任董事长王彬，组织安排资金占用，未对案涉关联交易事项保持应有关注，是控股股东高鑫金控违法行为直接负责的主管人员。同时，王彬作为公司时任董事长、财务总监，组织安排资金占用，未对案涉关联交易事项保持应有关注，未能勤勉尽责，未能保证公司及时披露，未能保证相关定期报告真实、准确、完整，是公司信息披露违法违规行为直接负责的主管人员</w:t>
      </w:r>
      <w:r>
        <w:rPr>
          <w:rFonts w:hint="eastAsia" w:eastAsia="仿宋_GB2312" w:cs="Times New Roman"/>
          <w:sz w:val="30"/>
          <w:szCs w:val="30"/>
          <w:shd w:val="clear" w:color="auto" w:fill="auto"/>
          <w:lang w:eastAsia="zh-CN"/>
        </w:rPr>
        <w:t>，其</w:t>
      </w:r>
      <w:r>
        <w:rPr>
          <w:rFonts w:hint="default" w:ascii="Times New Roman" w:hAnsi="Times New Roman" w:eastAsia="仿宋_GB2312" w:cs="Times New Roman"/>
          <w:sz w:val="30"/>
          <w:szCs w:val="30"/>
          <w:shd w:val="clear" w:color="auto" w:fill="auto"/>
          <w:lang w:eastAsia="zh-CN"/>
        </w:rPr>
        <w:t>相关行为严重扰乱证券市场秩序，造成特别恶劣社会影响</w:t>
      </w:r>
      <w:r>
        <w:rPr>
          <w:rFonts w:hint="eastAsia" w:eastAsia="仿宋_GB2312" w:cs="Times New Roman"/>
          <w:sz w:val="30"/>
          <w:szCs w:val="30"/>
          <w:shd w:val="clear" w:color="auto" w:fill="auto"/>
          <w:lang w:eastAsia="zh-CN"/>
        </w:rPr>
        <w:t>，</w:t>
      </w:r>
      <w:r>
        <w:rPr>
          <w:rFonts w:hint="default" w:eastAsia="仿宋_GB2312"/>
          <w:sz w:val="30"/>
          <w:szCs w:val="30"/>
          <w:shd w:val="clear" w:color="auto" w:fill="auto"/>
          <w:lang w:eastAsia="zh-CN"/>
        </w:rPr>
        <w:t>违反了《证券法》第八十二条，《股票上市规则（2024年4月修订）》第1.4条、</w:t>
      </w:r>
      <w:r>
        <w:rPr>
          <w:rFonts w:hint="eastAsia" w:eastAsia="仿宋_GB2312"/>
          <w:sz w:val="30"/>
          <w:szCs w:val="30"/>
          <w:shd w:val="clear" w:color="auto" w:fill="auto"/>
          <w:lang w:eastAsia="zh-CN"/>
        </w:rPr>
        <w:t>第</w:t>
      </w:r>
      <w:r>
        <w:rPr>
          <w:rFonts w:hint="eastAsia" w:eastAsia="仿宋_GB2312"/>
          <w:sz w:val="30"/>
          <w:szCs w:val="30"/>
          <w:shd w:val="clear" w:color="auto" w:fill="auto"/>
          <w:lang w:val="en-US" w:eastAsia="zh-CN"/>
        </w:rPr>
        <w:t>2.1.2条、</w:t>
      </w:r>
      <w:r>
        <w:rPr>
          <w:rFonts w:hint="default" w:eastAsia="仿宋_GB2312"/>
          <w:sz w:val="30"/>
          <w:szCs w:val="30"/>
          <w:shd w:val="clear" w:color="auto" w:fill="auto"/>
          <w:lang w:eastAsia="zh-CN"/>
        </w:rPr>
        <w:t>第4.</w:t>
      </w:r>
      <w:r>
        <w:rPr>
          <w:rFonts w:hint="eastAsia" w:eastAsia="仿宋_GB2312"/>
          <w:sz w:val="30"/>
          <w:szCs w:val="30"/>
          <w:shd w:val="clear" w:color="auto" w:fill="auto"/>
          <w:lang w:val="en-US" w:eastAsia="zh-CN"/>
        </w:rPr>
        <w:t>3</w:t>
      </w:r>
      <w:r>
        <w:rPr>
          <w:rFonts w:hint="default" w:eastAsia="仿宋_GB2312"/>
          <w:sz w:val="30"/>
          <w:szCs w:val="30"/>
          <w:shd w:val="clear" w:color="auto" w:fill="auto"/>
          <w:lang w:eastAsia="zh-CN"/>
        </w:rPr>
        <w:t>.1条、第4.</w:t>
      </w:r>
      <w:r>
        <w:rPr>
          <w:rFonts w:hint="eastAsia" w:eastAsia="仿宋_GB2312"/>
          <w:sz w:val="30"/>
          <w:szCs w:val="30"/>
          <w:shd w:val="clear" w:color="auto" w:fill="auto"/>
          <w:lang w:val="en-US" w:eastAsia="zh-CN"/>
        </w:rPr>
        <w:t>3</w:t>
      </w:r>
      <w:r>
        <w:rPr>
          <w:rFonts w:hint="default" w:eastAsia="仿宋_GB2312"/>
          <w:sz w:val="30"/>
          <w:szCs w:val="30"/>
          <w:shd w:val="clear" w:color="auto" w:fill="auto"/>
          <w:lang w:eastAsia="zh-CN"/>
        </w:rPr>
        <w:t>.</w:t>
      </w:r>
      <w:r>
        <w:rPr>
          <w:rFonts w:hint="eastAsia" w:eastAsia="仿宋_GB2312"/>
          <w:sz w:val="30"/>
          <w:szCs w:val="30"/>
          <w:shd w:val="clear" w:color="auto" w:fill="auto"/>
          <w:lang w:val="en-US" w:eastAsia="zh-CN"/>
        </w:rPr>
        <w:t>5</w:t>
      </w:r>
      <w:r>
        <w:rPr>
          <w:rFonts w:hint="default" w:eastAsia="仿宋_GB2312"/>
          <w:sz w:val="30"/>
          <w:szCs w:val="30"/>
          <w:shd w:val="clear" w:color="auto" w:fill="auto"/>
          <w:lang w:eastAsia="zh-CN"/>
        </w:rPr>
        <w:t>条，《股票上市规则（2025年4月修订）》第1.4条、</w:t>
      </w:r>
      <w:r>
        <w:rPr>
          <w:rFonts w:hint="eastAsia" w:eastAsia="仿宋_GB2312"/>
          <w:sz w:val="30"/>
          <w:szCs w:val="30"/>
          <w:shd w:val="clear" w:color="auto" w:fill="auto"/>
          <w:lang w:eastAsia="zh-CN"/>
        </w:rPr>
        <w:t>第</w:t>
      </w:r>
      <w:r>
        <w:rPr>
          <w:rFonts w:hint="eastAsia" w:eastAsia="仿宋_GB2312"/>
          <w:sz w:val="30"/>
          <w:szCs w:val="30"/>
          <w:shd w:val="clear" w:color="auto" w:fill="auto"/>
          <w:lang w:val="en-US" w:eastAsia="zh-CN"/>
        </w:rPr>
        <w:t>2.1.2条、</w:t>
      </w:r>
      <w:r>
        <w:rPr>
          <w:rFonts w:hint="default" w:eastAsia="仿宋_GB2312"/>
          <w:sz w:val="30"/>
          <w:szCs w:val="30"/>
          <w:shd w:val="clear" w:color="auto" w:fill="auto"/>
          <w:lang w:eastAsia="zh-CN"/>
        </w:rPr>
        <w:t>第4.</w:t>
      </w:r>
      <w:r>
        <w:rPr>
          <w:rFonts w:hint="eastAsia" w:eastAsia="仿宋_GB2312"/>
          <w:sz w:val="30"/>
          <w:szCs w:val="30"/>
          <w:shd w:val="clear" w:color="auto" w:fill="auto"/>
          <w:lang w:val="en-US" w:eastAsia="zh-CN"/>
        </w:rPr>
        <w:t>3</w:t>
      </w:r>
      <w:r>
        <w:rPr>
          <w:rFonts w:hint="default" w:eastAsia="仿宋_GB2312"/>
          <w:sz w:val="30"/>
          <w:szCs w:val="30"/>
          <w:shd w:val="clear" w:color="auto" w:fill="auto"/>
          <w:lang w:eastAsia="zh-CN"/>
        </w:rPr>
        <w:t>.1条、第4.</w:t>
      </w:r>
      <w:r>
        <w:rPr>
          <w:rFonts w:hint="eastAsia" w:eastAsia="仿宋_GB2312"/>
          <w:sz w:val="30"/>
          <w:szCs w:val="30"/>
          <w:shd w:val="clear" w:color="auto" w:fill="auto"/>
          <w:lang w:val="en-US" w:eastAsia="zh-CN"/>
        </w:rPr>
        <w:t>3</w:t>
      </w:r>
      <w:r>
        <w:rPr>
          <w:rFonts w:hint="default" w:eastAsia="仿宋_GB2312"/>
          <w:sz w:val="30"/>
          <w:szCs w:val="30"/>
          <w:shd w:val="clear" w:color="auto" w:fill="auto"/>
          <w:lang w:eastAsia="zh-CN"/>
        </w:rPr>
        <w:t>.</w:t>
      </w:r>
      <w:r>
        <w:rPr>
          <w:rFonts w:hint="eastAsia" w:eastAsia="仿宋_GB2312"/>
          <w:sz w:val="30"/>
          <w:szCs w:val="30"/>
          <w:shd w:val="clear" w:color="auto" w:fill="auto"/>
          <w:lang w:val="en-US" w:eastAsia="zh-CN"/>
        </w:rPr>
        <w:t>5</w:t>
      </w:r>
      <w:r>
        <w:rPr>
          <w:rFonts w:hint="default" w:eastAsia="仿宋_GB2312"/>
          <w:sz w:val="30"/>
          <w:szCs w:val="30"/>
          <w:shd w:val="clear" w:color="auto" w:fill="auto"/>
          <w:lang w:eastAsia="zh-CN"/>
        </w:rPr>
        <w:t>条等有关规定及其在《董事（监事、高级管理人员）声明及承诺书》中作出的承诺</w:t>
      </w:r>
      <w:r>
        <w:rPr>
          <w:rFonts w:hint="eastAsia" w:eastAsia="仿宋_GB2312" w:cs="Times New Roman"/>
          <w:sz w:val="30"/>
          <w:szCs w:val="30"/>
          <w:shd w:val="clear" w:color="auto" w:fill="auto"/>
          <w:lang w:eastAsia="zh-CN"/>
        </w:rPr>
        <w:t>。</w:t>
      </w:r>
    </w:p>
    <w:p w14:paraId="1216C06A">
      <w:pPr>
        <w:numPr>
          <w:ilvl w:val="0"/>
          <w:numId w:val="0"/>
        </w:numPr>
        <w:snapToGrid w:val="0"/>
        <w:spacing w:line="560" w:lineRule="exact"/>
        <w:ind w:firstLine="600" w:firstLineChars="200"/>
        <w:jc w:val="both"/>
        <w:rPr>
          <w:rFonts w:hint="default" w:eastAsia="仿宋_GB2312" w:cs="Times New Roman"/>
          <w:sz w:val="30"/>
          <w:szCs w:val="30"/>
          <w:shd w:val="clear" w:color="auto" w:fill="auto"/>
          <w:lang w:eastAsia="zh-CN"/>
        </w:rPr>
      </w:pPr>
      <w:r>
        <w:rPr>
          <w:rFonts w:hint="eastAsia" w:eastAsia="仿宋_GB2312"/>
          <w:sz w:val="30"/>
          <w:szCs w:val="30"/>
          <w:highlight w:val="none"/>
          <w:lang w:eastAsia="zh-CN"/>
        </w:rPr>
        <w:t>前期，因公司2021年度、2022年度、2023年度存在控股股东及其关联方非经营性资金占用事项，本所已于2024年2月、2024年6月对王彬等有关责任主体作出纪律处分决定（〔2024〕41号、〔2024〕119号），但王彬等有关责任主体仍未积极采取整改措施、如实披露占用情况，2023年度、2024年度再次被查实新增控股股东非经营性资金占用事项，涉及金额较大，严重侵害上市公司和中小投资者利益，情节严重。此外，就公司2023年部分资金占用事项，本所前期已经作出违规处理，本次不再重复处理</w:t>
      </w:r>
      <w:r>
        <w:rPr>
          <w:rFonts w:hint="eastAsia" w:eastAsia="仿宋_GB2312" w:cs="Times New Roman"/>
          <w:sz w:val="30"/>
          <w:szCs w:val="30"/>
          <w:highlight w:val="none"/>
          <w:lang w:val="en-US" w:eastAsia="zh-CN"/>
        </w:rPr>
        <w:t>。</w:t>
      </w:r>
    </w:p>
    <w:p w14:paraId="7D4958D0">
      <w:pPr>
        <w:spacing w:line="560" w:lineRule="exact"/>
        <w:ind w:firstLine="600"/>
        <w:jc w:val="both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鉴于上述违规事实和情节，我部拟提请本所自律监管纪律处分委员会审核，根据《股票上市规则（2024年4月修订）》第13.2.1条、第13.2.3条，《股票上市规则（2025年4月修订）》第13.2.1条、第13.2.3条,《上海证券交易所纪律处分和监管措施实施办法》《上海证券交易所上市公司自律监管指引第10号——纪律处分实施标准》的规定，对海越能源集团股份有限公司时任董事长、财务总监、控股股东铜川高鑫金融控股有限公司董事长王彬予以公开谴责，并公开认定王彬终身不适合担任上市公司董事、高级管理人员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t>。</w:t>
      </w:r>
    </w:p>
    <w:p w14:paraId="3F70565B">
      <w:pPr>
        <w:adjustRightInd w:val="0"/>
        <w:snapToGrid w:val="0"/>
        <w:spacing w:line="560" w:lineRule="exact"/>
        <w:ind w:firstLine="600"/>
        <w:jc w:val="both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t>上述纪律处分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:lang w:eastAsia="zh-CN"/>
        </w:rPr>
        <w:t>作出后，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t>将通报中国证监会和</w:t>
      </w:r>
      <w:r>
        <w:rPr>
          <w:rFonts w:hint="eastAsia" w:eastAsia="仿宋_GB2312" w:cs="Times New Roman"/>
          <w:sz w:val="30"/>
          <w:szCs w:val="30"/>
          <w:highlight w:val="none"/>
          <w:lang w:eastAsia="zh-CN"/>
        </w:rPr>
        <w:t>浙江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:lang w:eastAsia="zh-CN"/>
        </w:rPr>
        <w:t>省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t>地方金融管理局</w:t>
      </w:r>
      <w:r>
        <w:rPr>
          <w:rFonts w:hint="default" w:ascii="Times New Roman" w:hAnsi="Times New Roman" w:eastAsia="仿宋_GB2312" w:cs="Times New Roman"/>
          <w:sz w:val="30"/>
          <w:szCs w:val="30"/>
        </w:rPr>
        <w:t>，并记入证券期货市场诚信档案数据库。</w:t>
      </w:r>
    </w:p>
    <w:p w14:paraId="3A40365A">
      <w:pPr>
        <w:adjustRightInd w:val="0"/>
        <w:snapToGrid w:val="0"/>
        <w:spacing w:line="560" w:lineRule="exact"/>
        <w:ind w:firstLine="600"/>
        <w:jc w:val="both"/>
        <w:rPr>
          <w:rFonts w:hint="default" w:ascii="Times New Roman" w:hAnsi="Times New Roman" w:eastAsia="仿宋_GB2312" w:cs="Times New Roman"/>
          <w:sz w:val="30"/>
          <w:szCs w:val="30"/>
        </w:rPr>
      </w:pPr>
    </w:p>
    <w:p w14:paraId="6DC3FA01">
      <w:pPr>
        <w:snapToGrid w:val="0"/>
        <w:spacing w:line="560" w:lineRule="exact"/>
        <w:ind w:right="2" w:rightChars="1" w:firstLine="600"/>
        <w:jc w:val="right"/>
        <w:rPr>
          <w:rFonts w:hint="eastAsia" w:eastAsia="仿宋_GB2312"/>
          <w:sz w:val="30"/>
          <w:szCs w:val="30"/>
          <w:lang w:eastAsia="zh-CN"/>
        </w:rPr>
      </w:pPr>
      <w:r>
        <w:rPr>
          <w:rFonts w:hint="eastAsia" w:eastAsia="仿宋_GB2312"/>
          <w:sz w:val="30"/>
          <w:szCs w:val="30"/>
          <w:lang w:eastAsia="zh-CN"/>
        </w:rPr>
        <w:t>上海证券交易所上市公司管理二部</w:t>
      </w:r>
    </w:p>
    <w:p w14:paraId="445F3657">
      <w:pPr>
        <w:wordWrap/>
        <w:snapToGrid w:val="0"/>
        <w:spacing w:line="560" w:lineRule="exact"/>
        <w:ind w:right="2" w:rightChars="1" w:firstLine="600"/>
        <w:jc w:val="right"/>
        <w:rPr>
          <w:rFonts w:hint="default" w:eastAsia="仿宋_GB2312" w:cs="Times New Roman"/>
          <w:sz w:val="30"/>
          <w:szCs w:val="30"/>
          <w:lang w:val="en-US" w:eastAsia="zh-CN"/>
        </w:rPr>
      </w:pPr>
      <w:r>
        <w:rPr>
          <w:rFonts w:hint="eastAsia" w:eastAsia="仿宋_GB2312"/>
          <w:sz w:val="30"/>
          <w:szCs w:val="30"/>
          <w:lang w:val="en-US" w:eastAsia="zh-CN"/>
        </w:rPr>
        <w:t xml:space="preserve">   </w:t>
      </w:r>
      <w:r>
        <w:rPr>
          <w:rFonts w:hint="eastAsia" w:eastAsia="仿宋_GB2312"/>
          <w:sz w:val="30"/>
          <w:szCs w:val="30"/>
          <w:lang w:eastAsia="zh-CN"/>
        </w:rPr>
        <w:t>二〇二六年六月二十三日</w:t>
      </w:r>
      <w:r>
        <w:rPr>
          <w:rFonts w:hint="eastAsia" w:eastAsia="仿宋_GB2312"/>
          <w:sz w:val="30"/>
          <w:szCs w:val="30"/>
          <w:lang w:val="en-US" w:eastAsia="zh-CN"/>
        </w:rPr>
        <w:t xml:space="preserve">  </w:t>
      </w:r>
    </w:p>
    <w:p w14:paraId="48851F35">
      <w:pPr>
        <w:widowControl/>
        <w:spacing w:line="560" w:lineRule="exact"/>
        <w:ind w:firstLine="0"/>
        <w:jc w:val="left"/>
      </w:pPr>
    </w:p>
    <w:sectPr>
      <w:footerReference r:id="rId3" w:type="default"/>
      <w:pgSz w:w="11906" w:h="16838"/>
      <w:pgMar w:top="1440" w:right="1548" w:bottom="1440" w:left="1548" w:header="720" w:footer="992" w:gutter="0"/>
      <w:cols w:space="720" w:num="1"/>
      <w:docGrid w:linePitch="40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00500000000000000"/>
    <w:charset w:val="86"/>
    <w:family w:val="modern"/>
    <w:pitch w:val="default"/>
    <w:sig w:usb0="A00002BF" w:usb1="5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B024D9">
    <w:pPr>
      <w:pStyle w:val="5"/>
      <w:ind w:right="360"/>
    </w:pPr>
    <w:r>
      <w:pict>
        <v:shape id="_x0000_s4097" o:spid="_x0000_s4097" o:spt="202" type="#_x0000_t202" style="position:absolute;left:0pt;margin-left:513.35pt;margin-top:0.05pt;height:9.9pt;width:4.5pt;mso-position-horizontal-relative:page;mso-wrap-distance-bottom:0pt;mso-wrap-distance-left:0pt;mso-wrap-distance-right:0pt;mso-wrap-distance-top:0pt;z-index:251659264;mso-width-relative:page;mso-height-relative:page;" stroked="f" coordsize="21600,21600">
          <v:path/>
          <v:fill color2="#000000" opacity="0f" focussize="0,0"/>
          <v:stroke on="f" joinstyle="miter"/>
          <v:imagedata o:title=""/>
          <o:lock v:ext="edit"/>
          <v:textbox inset="0mm,0mm,0mm,0mm">
            <w:txbxContent>
              <w:p w14:paraId="37C8D383">
                <w:pPr>
                  <w:pStyle w:val="5"/>
                </w:pPr>
                <w:r>
                  <w:rPr>
                    <w:rStyle w:val="10"/>
                  </w:rPr>
                  <w:fldChar w:fldCharType="begin"/>
                </w:r>
                <w:r>
                  <w:rPr>
                    <w:rStyle w:val="10"/>
                  </w:rPr>
                  <w:instrText xml:space="preserve"> PAGE </w:instrText>
                </w:r>
                <w:r>
                  <w:rPr>
                    <w:rStyle w:val="10"/>
                  </w:rPr>
                  <w:fldChar w:fldCharType="separate"/>
                </w:r>
                <w:r>
                  <w:rPr>
                    <w:rStyle w:val="10"/>
                  </w:rPr>
                  <w:t>1</w:t>
                </w:r>
                <w:r>
                  <w:rPr>
                    <w:rStyle w:val="10"/>
                  </w:rPr>
                  <w:fldChar w:fldCharType="end"/>
                </w:r>
              </w:p>
            </w:txbxContent>
          </v:textbox>
          <w10:wrap type="square" side="largest"/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83548"/>
    <w:rsid w:val="0002686E"/>
    <w:rsid w:val="000324DB"/>
    <w:rsid w:val="00083548"/>
    <w:rsid w:val="000972CD"/>
    <w:rsid w:val="000D32F7"/>
    <w:rsid w:val="000D7466"/>
    <w:rsid w:val="0016116B"/>
    <w:rsid w:val="00220B03"/>
    <w:rsid w:val="00312F15"/>
    <w:rsid w:val="00321955"/>
    <w:rsid w:val="003C26E9"/>
    <w:rsid w:val="00404D19"/>
    <w:rsid w:val="004F37F2"/>
    <w:rsid w:val="005104D4"/>
    <w:rsid w:val="0059188C"/>
    <w:rsid w:val="005B5A4E"/>
    <w:rsid w:val="005B7728"/>
    <w:rsid w:val="00810739"/>
    <w:rsid w:val="00853659"/>
    <w:rsid w:val="00B37CAB"/>
    <w:rsid w:val="00D867DC"/>
    <w:rsid w:val="00EA4160"/>
    <w:rsid w:val="00F673C5"/>
    <w:rsid w:val="07DBD9F6"/>
    <w:rsid w:val="07F3D2C9"/>
    <w:rsid w:val="1B4DEF22"/>
    <w:rsid w:val="24611DF9"/>
    <w:rsid w:val="2ED7B85F"/>
    <w:rsid w:val="3BD52320"/>
    <w:rsid w:val="3D7ECF76"/>
    <w:rsid w:val="3FB93F46"/>
    <w:rsid w:val="494F4124"/>
    <w:rsid w:val="518F893C"/>
    <w:rsid w:val="5631B1F5"/>
    <w:rsid w:val="57D6B4F3"/>
    <w:rsid w:val="5AFE966B"/>
    <w:rsid w:val="5E7FDC0D"/>
    <w:rsid w:val="5EAFDA24"/>
    <w:rsid w:val="65475DE2"/>
    <w:rsid w:val="65FFE4CF"/>
    <w:rsid w:val="66FC2D11"/>
    <w:rsid w:val="67FF923C"/>
    <w:rsid w:val="6FBF24B7"/>
    <w:rsid w:val="7B7F9A9A"/>
    <w:rsid w:val="7D6E0F69"/>
    <w:rsid w:val="7D9BAC99"/>
    <w:rsid w:val="7DEF5323"/>
    <w:rsid w:val="7DF837E8"/>
    <w:rsid w:val="7E4EB179"/>
    <w:rsid w:val="7FA78AF0"/>
    <w:rsid w:val="7FDB4A53"/>
    <w:rsid w:val="7FE6ADD9"/>
    <w:rsid w:val="7FFE4E11"/>
    <w:rsid w:val="7FFF5CD9"/>
    <w:rsid w:val="8A7B2A43"/>
    <w:rsid w:val="8CD33A77"/>
    <w:rsid w:val="9F8F3220"/>
    <w:rsid w:val="9FBCCC23"/>
    <w:rsid w:val="ABBD9F40"/>
    <w:rsid w:val="AFB73E5E"/>
    <w:rsid w:val="B1FFFC6A"/>
    <w:rsid w:val="BDF62AFB"/>
    <w:rsid w:val="BF37691D"/>
    <w:rsid w:val="BFFD781F"/>
    <w:rsid w:val="C6CCC85B"/>
    <w:rsid w:val="D2FCCBE8"/>
    <w:rsid w:val="D7BE677A"/>
    <w:rsid w:val="D7D11D22"/>
    <w:rsid w:val="D7EA4F33"/>
    <w:rsid w:val="DDBFBCC3"/>
    <w:rsid w:val="DDF99D2F"/>
    <w:rsid w:val="DECF2FF7"/>
    <w:rsid w:val="E254CFD7"/>
    <w:rsid w:val="ECF71D26"/>
    <w:rsid w:val="EF072F0C"/>
    <w:rsid w:val="F47F9442"/>
    <w:rsid w:val="F7FD53B8"/>
    <w:rsid w:val="FA9FD8C3"/>
    <w:rsid w:val="FAFDB63D"/>
    <w:rsid w:val="FBDBD098"/>
    <w:rsid w:val="FBEDFA0F"/>
    <w:rsid w:val="FBEF77D2"/>
    <w:rsid w:val="FD7D0BAF"/>
    <w:rsid w:val="FDDFB344"/>
    <w:rsid w:val="FFE767E9"/>
    <w:rsid w:val="FFFBF1E0"/>
    <w:rsid w:val="FFFF92B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nhideWhenUsed="0" w:uiPriority="0" w:semiHidden="0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Times New Roman" w:hAnsi="Times New Roman" w:eastAsia="宋体" w:cs="Times New Roman"/>
      <w:kern w:val="1"/>
      <w:sz w:val="21"/>
      <w:szCs w:val="24"/>
      <w:lang w:val="en-US" w:eastAsia="ar-SA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semiHidden/>
    <w:unhideWhenUsed/>
    <w:qFormat/>
    <w:uiPriority w:val="99"/>
    <w:pPr>
      <w:suppressAutoHyphens/>
      <w:jc w:val="left"/>
    </w:pPr>
    <w:rPr>
      <w:rFonts w:asciiTheme="minorHAnsi" w:hAnsiTheme="minorHAnsi" w:eastAsiaTheme="minorEastAsia" w:cstheme="minorBidi"/>
      <w:kern w:val="2"/>
      <w:szCs w:val="22"/>
      <w:lang w:eastAsia="zh-CN"/>
    </w:rPr>
  </w:style>
  <w:style w:type="paragraph" w:styleId="3">
    <w:name w:val="Block Text"/>
    <w:basedOn w:val="1"/>
    <w:qFormat/>
    <w:uiPriority w:val="0"/>
    <w:pPr>
      <w:spacing w:line="360" w:lineRule="auto"/>
      <w:ind w:left="840" w:right="840"/>
      <w:jc w:val="center"/>
    </w:pPr>
    <w:rPr>
      <w:sz w:val="36"/>
    </w:rPr>
  </w:style>
  <w:style w:type="paragraph" w:styleId="4">
    <w:name w:val="Balloon Text"/>
    <w:basedOn w:val="1"/>
    <w:link w:val="15"/>
    <w:semiHidden/>
    <w:unhideWhenUsed/>
    <w:qFormat/>
    <w:uiPriority w:val="99"/>
    <w:pPr>
      <w:suppressAutoHyphens/>
    </w:pPr>
    <w:rPr>
      <w:rFonts w:asciiTheme="minorHAnsi" w:hAnsiTheme="minorHAnsi" w:eastAsiaTheme="minorEastAsia" w:cstheme="minorBidi"/>
      <w:kern w:val="2"/>
      <w:sz w:val="18"/>
      <w:szCs w:val="18"/>
      <w:lang w:eastAsia="zh-CN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uppressAutoHyphens w:val="0"/>
      <w:snapToGrid w:val="0"/>
      <w:jc w:val="left"/>
    </w:pPr>
    <w:rPr>
      <w:rFonts w:asciiTheme="minorHAnsi" w:hAnsiTheme="minorHAnsi" w:eastAsiaTheme="minorEastAsia" w:cstheme="minorBidi"/>
      <w:kern w:val="2"/>
      <w:sz w:val="18"/>
      <w:szCs w:val="18"/>
      <w:lang w:eastAsia="zh-CN"/>
    </w:rPr>
  </w:style>
  <w:style w:type="paragraph" w:styleId="6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uppressAutoHyphens w:val="0"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eastAsia="zh-CN"/>
    </w:rPr>
  </w:style>
  <w:style w:type="paragraph" w:styleId="7">
    <w:name w:val="annotation subject"/>
    <w:basedOn w:val="2"/>
    <w:next w:val="2"/>
    <w:link w:val="17"/>
    <w:semiHidden/>
    <w:unhideWhenUsed/>
    <w:qFormat/>
    <w:uiPriority w:val="99"/>
    <w:rPr>
      <w:b/>
      <w:bCs/>
    </w:rPr>
  </w:style>
  <w:style w:type="character" w:styleId="10">
    <w:name w:val="page number"/>
    <w:basedOn w:val="9"/>
    <w:semiHidden/>
    <w:unhideWhenUsed/>
    <w:qFormat/>
    <w:uiPriority w:val="99"/>
  </w:style>
  <w:style w:type="character" w:styleId="11">
    <w:name w:val="annotation reference"/>
    <w:basedOn w:val="9"/>
    <w:semiHidden/>
    <w:unhideWhenUsed/>
    <w:qFormat/>
    <w:uiPriority w:val="99"/>
    <w:rPr>
      <w:rFonts w:asciiTheme="minorHAnsi" w:hAnsiTheme="minorHAnsi" w:eastAsiaTheme="minorEastAsia" w:cstheme="minorBidi"/>
      <w:sz w:val="21"/>
      <w:szCs w:val="21"/>
    </w:rPr>
  </w:style>
  <w:style w:type="character" w:customStyle="1" w:styleId="12">
    <w:name w:val="页眉 Char"/>
    <w:basedOn w:val="9"/>
    <w:link w:val="6"/>
    <w:semiHidden/>
    <w:qFormat/>
    <w:uiPriority w:val="99"/>
    <w:rPr>
      <w:sz w:val="18"/>
      <w:szCs w:val="18"/>
    </w:rPr>
  </w:style>
  <w:style w:type="character" w:customStyle="1" w:styleId="13">
    <w:name w:val="页脚 Char"/>
    <w:basedOn w:val="9"/>
    <w:link w:val="5"/>
    <w:semiHidden/>
    <w:qFormat/>
    <w:uiPriority w:val="99"/>
    <w:rPr>
      <w:sz w:val="18"/>
      <w:szCs w:val="18"/>
    </w:rPr>
  </w:style>
  <w:style w:type="paragraph" w:styleId="14">
    <w:name w:val="List Paragraph"/>
    <w:basedOn w:val="1"/>
    <w:qFormat/>
    <w:uiPriority w:val="34"/>
    <w:pPr>
      <w:suppressAutoHyphens/>
      <w:ind w:firstLine="420" w:firstLineChars="200"/>
    </w:pPr>
    <w:rPr>
      <w:rFonts w:asciiTheme="minorHAnsi" w:hAnsiTheme="minorHAnsi" w:eastAsiaTheme="minorEastAsia" w:cstheme="minorBidi"/>
      <w:kern w:val="2"/>
      <w:szCs w:val="22"/>
      <w:lang w:eastAsia="zh-CN"/>
    </w:rPr>
  </w:style>
  <w:style w:type="character" w:customStyle="1" w:styleId="15">
    <w:name w:val="批注框文本 Char"/>
    <w:basedOn w:val="9"/>
    <w:link w:val="4"/>
    <w:semiHidden/>
    <w:qFormat/>
    <w:uiPriority w:val="99"/>
    <w:rPr>
      <w:rFonts w:asciiTheme="minorHAnsi" w:hAnsiTheme="minorHAnsi" w:eastAsiaTheme="minorEastAsia" w:cstheme="minorBidi"/>
      <w:sz w:val="18"/>
      <w:szCs w:val="18"/>
    </w:rPr>
  </w:style>
  <w:style w:type="character" w:customStyle="1" w:styleId="16">
    <w:name w:val="批注文字 Char"/>
    <w:basedOn w:val="9"/>
    <w:link w:val="2"/>
    <w:semiHidden/>
    <w:qFormat/>
    <w:uiPriority w:val="99"/>
    <w:rPr>
      <w:rFonts w:asciiTheme="minorHAnsi" w:hAnsiTheme="minorHAnsi" w:eastAsiaTheme="minorEastAsia" w:cstheme="minorBidi"/>
    </w:rPr>
  </w:style>
  <w:style w:type="character" w:customStyle="1" w:styleId="17">
    <w:name w:val="批注主题 Char"/>
    <w:basedOn w:val="16"/>
    <w:link w:val="7"/>
    <w:semiHidden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4</Pages>
  <Words>6</Words>
  <Characters>35</Characters>
  <Lines>1</Lines>
  <Paragraphs>1</Paragraphs>
  <TotalTime>2</TotalTime>
  <ScaleCrop>false</ScaleCrop>
  <LinksUpToDate>false</LinksUpToDate>
  <CharactersWithSpaces>40</CharactersWithSpaces>
  <Application>WPS Office_12.8.2.19313_F1E327BC-269C-435d-A152-05C5408002CA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2017-05-29T02:35:00Z</dcterms:created>
  <dc:creator>覃锦辉(拟稿)</dc:creator>
  <cp:lastModifiedBy>tygao</cp:lastModifiedBy>
  <cp:lastPrinted>2026-06-23T09:19:00Z</cp:lastPrinted>
  <dcterms:modified xsi:type="dcterms:W3CDTF">2026-08-24T16:44:42Z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2052-12.8.2.19313</vt:lpwstr>
  </property>
  <property fmtid="{D5CDD505-2E9C-101B-9397-08002B2CF9AE}" pid="3" name="ICV">
    <vt:lpwstr>DE7D9DF6B7034ADF8240D2BABD755D1E_13</vt:lpwstr>
  </property>
</Properties>
</file>