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Cs/>
          <w:sz w:val="44"/>
          <w:szCs w:val="44"/>
        </w:rPr>
        <w:t>关于</w:t>
      </w:r>
      <w:r>
        <w:rPr>
          <w:rFonts w:hint="eastAsia" w:eastAsia="黑体" w:cs="Times New Roman"/>
          <w:bCs/>
          <w:sz w:val="44"/>
          <w:szCs w:val="44"/>
          <w:lang w:eastAsia="zh-CN"/>
        </w:rPr>
        <w:t>对</w:t>
      </w:r>
      <w:r>
        <w:rPr>
          <w:rFonts w:hint="default" w:ascii="Times New Roman" w:hAnsi="Times New Roman" w:eastAsia="黑体" w:cs="Times New Roman"/>
          <w:bCs/>
          <w:sz w:val="44"/>
          <w:szCs w:val="44"/>
        </w:rPr>
        <w:t>海越能源集团股份有限公司时任董事长、财务总监王彬</w:t>
      </w:r>
      <w:r>
        <w:rPr>
          <w:rFonts w:hint="eastAsia" w:eastAsia="黑体" w:cs="Times New Roman"/>
          <w:bCs/>
          <w:sz w:val="44"/>
          <w:szCs w:val="44"/>
          <w:lang w:eastAsia="zh-CN"/>
        </w:rPr>
        <w:t>予以</w:t>
      </w:r>
      <w:r>
        <w:rPr>
          <w:rFonts w:hint="default" w:ascii="Times New Roman" w:hAnsi="Times New Roman" w:eastAsia="黑体" w:cs="Times New Roman"/>
          <w:bCs/>
          <w:sz w:val="44"/>
          <w:szCs w:val="44"/>
        </w:rPr>
        <w:t>纪律处分</w:t>
      </w:r>
      <w:r>
        <w:rPr>
          <w:rFonts w:hint="eastAsia" w:eastAsia="黑体" w:cs="Times New Roman"/>
          <w:bCs/>
          <w:sz w:val="44"/>
          <w:szCs w:val="44"/>
          <w:lang w:eastAsia="zh-CN"/>
        </w:rPr>
        <w:t>的</w:t>
      </w:r>
      <w:r>
        <w:rPr>
          <w:rFonts w:hint="default" w:ascii="Times New Roman" w:hAnsi="Times New Roman" w:eastAsia="黑体" w:cs="Times New Roman"/>
          <w:bCs/>
          <w:sz w:val="44"/>
          <w:szCs w:val="44"/>
        </w:rPr>
        <w:t>意向书</w:t>
      </w:r>
    </w:p>
    <w:p>
      <w:pPr>
        <w:snapToGrid w:val="0"/>
        <w:spacing w:line="560" w:lineRule="exact"/>
        <w:ind w:firstLine="0" w:firstLineChars="0"/>
        <w:jc w:val="both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napToGrid w:val="0"/>
        <w:spacing w:line="560" w:lineRule="exact"/>
        <w:ind w:firstLine="0" w:firstLineChars="0"/>
        <w:jc w:val="both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海越能源集团股份有限公司时任董事长、财务总监王彬：</w:t>
      </w:r>
    </w:p>
    <w:p>
      <w:pPr>
        <w:numPr>
          <w:ilvl w:val="0"/>
          <w:numId w:val="0"/>
        </w:numPr>
        <w:snapToGrid w:val="0"/>
        <w:spacing w:line="560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  <w:t>中国证券监督管理委员会</w:t>
      </w:r>
      <w:r>
        <w:rPr>
          <w:rFonts w:hint="eastAsia" w:eastAsia="仿宋_GB2312" w:cs="Times New Roman"/>
          <w:sz w:val="30"/>
          <w:szCs w:val="30"/>
          <w:highlight w:val="none"/>
          <w:lang w:eastAsia="zh-CN"/>
        </w:rPr>
        <w:t>浙江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  <w:t>监管局出具的《行政处罚事先告知书》（</w:t>
      </w:r>
      <w:r>
        <w:rPr>
          <w:rFonts w:hint="eastAsia" w:eastAsia="仿宋_GB2312" w:cs="Times New Roman"/>
          <w:sz w:val="30"/>
          <w:szCs w:val="30"/>
          <w:highlight w:val="none"/>
          <w:lang w:eastAsia="zh-CN"/>
        </w:rPr>
        <w:t>浙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  <w:t>处罚字〔202</w:t>
      </w:r>
      <w:r>
        <w:rPr>
          <w:rFonts w:hint="eastAsia" w:eastAsia="仿宋_GB2312" w:cs="Times New Roman"/>
          <w:sz w:val="30"/>
          <w:szCs w:val="30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  <w:t>〕</w:t>
      </w:r>
      <w:r>
        <w:rPr>
          <w:rFonts w:hint="eastAsia" w:eastAsia="仿宋_GB2312" w:cs="Times New Roman"/>
          <w:sz w:val="30"/>
          <w:szCs w:val="30"/>
          <w:highlight w:val="none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  <w:t>号）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查明的事实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，海越能源集团股份有限公司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（以下简称公司）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控股股东铜川高鑫金融控股有限公司（以下简称高鑫金控）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在信息披露、规范运作方面，有关责任人在职责履行方面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存在</w:t>
      </w:r>
      <w:r>
        <w:rPr>
          <w:rFonts w:hint="eastAsia" w:eastAsia="仿宋_GB2312" w:cs="Times New Roman"/>
          <w:sz w:val="30"/>
          <w:szCs w:val="30"/>
          <w:lang w:eastAsia="zh-CN"/>
        </w:rPr>
        <w:t>以下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违规行为。</w:t>
      </w:r>
    </w:p>
    <w:p>
      <w:pPr>
        <w:keepNext w:val="0"/>
        <w:keepLines w:val="0"/>
        <w:widowControl w:val="0"/>
        <w:suppressLineNumbers w:val="0"/>
        <w:suppressAutoHyphens/>
        <w:adjustRightInd w:val="0"/>
        <w:snapToGrid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Times New Roman" w:hAnsi="Times New Roman" w:eastAsia="黑体" w:cs="Times New Roman"/>
          <w:bCs/>
          <w:kern w:val="1"/>
          <w:sz w:val="30"/>
          <w:szCs w:val="30"/>
        </w:rPr>
      </w:pPr>
      <w:r>
        <w:rPr>
          <w:rFonts w:hint="eastAsia" w:ascii="黑体" w:hAnsi="宋体" w:eastAsia="黑体" w:cs="黑体"/>
          <w:bCs/>
          <w:kern w:val="1"/>
          <w:sz w:val="30"/>
          <w:szCs w:val="30"/>
          <w:lang w:val="en-US" w:eastAsia="zh-CN" w:bidi="ar"/>
        </w:rPr>
        <w:t>一、公司控股股东、关联方情况</w:t>
      </w:r>
    </w:p>
    <w:p>
      <w:pPr>
        <w:keepNext w:val="0"/>
        <w:keepLines w:val="0"/>
        <w:widowControl w:val="0"/>
        <w:suppressLineNumbers w:val="0"/>
        <w:suppressAutoHyphens/>
        <w:snapToGrid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default" w:ascii="Times New Roman" w:hAnsi="Times New Roman" w:eastAsia="仿宋_GB2312" w:cs="Times New Roman"/>
          <w:kern w:val="1"/>
          <w:sz w:val="30"/>
          <w:szCs w:val="30"/>
        </w:rPr>
      </w:pP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案涉期间，铜川汇能鑫能源有限公司（以下简称汇能鑫）持有公司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19.21%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的股份，高鑫金控持有汇能鑫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100%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的股份。汇能鑫仅是高鑫金控用于管理控制公司的持股平台，相关事务由高鑫金控管控，在经营决策、财务管理、人员管理、行政管理、办公场所等方面无独立性。案涉期间高鑫金控实际管控公司，是公司控股股东。</w:t>
      </w:r>
    </w:p>
    <w:p>
      <w:pPr>
        <w:keepNext w:val="0"/>
        <w:keepLines w:val="0"/>
        <w:widowControl w:val="0"/>
        <w:suppressLineNumbers w:val="0"/>
        <w:suppressAutoHyphens/>
        <w:snapToGrid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default" w:ascii="Times New Roman" w:hAnsi="Times New Roman" w:eastAsia="仿宋_GB2312" w:cs="Times New Roman"/>
          <w:kern w:val="1"/>
          <w:sz w:val="30"/>
          <w:szCs w:val="30"/>
        </w:rPr>
      </w:pP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案涉期间，高鑫金控能够对宁夏恺力信商贸有限公司（以下简称宁夏恺力信）、铜川安泰容电子科技有限公司（以下简称铜川安泰容）施加重大影响。公司与宁夏恺力信、铜川安泰容符合《企业会计准则第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36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号——关联方披露》第三条第一款所述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“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一方控制、共同控制另一方或对另一方施加重大影响，以及两方或两方以上同受一方控制、共同控制或重大影响的，构成关联方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”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的情形。根据相关规定，宁夏恺力信、铜川安泰容是公司的关联方。</w:t>
      </w:r>
    </w:p>
    <w:p>
      <w:pPr>
        <w:keepNext w:val="0"/>
        <w:keepLines w:val="0"/>
        <w:widowControl w:val="0"/>
        <w:suppressLineNumbers w:val="0"/>
        <w:suppressAutoHyphens/>
        <w:adjustRightInd w:val="0"/>
        <w:snapToGrid w:val="0"/>
        <w:spacing w:before="0" w:beforeAutospacing="0" w:after="0" w:afterAutospacing="0" w:line="560" w:lineRule="exact"/>
        <w:ind w:left="0" w:right="0" w:firstLine="600"/>
        <w:jc w:val="both"/>
        <w:rPr>
          <w:rFonts w:hint="default" w:ascii="Times New Roman" w:hAnsi="Times New Roman" w:eastAsia="黑体" w:cs="Times New Roman"/>
          <w:bCs/>
          <w:kern w:val="1"/>
          <w:sz w:val="30"/>
          <w:szCs w:val="30"/>
        </w:rPr>
      </w:pPr>
      <w:r>
        <w:rPr>
          <w:rFonts w:hint="eastAsia" w:ascii="黑体" w:hAnsi="宋体" w:eastAsia="黑体" w:cs="黑体"/>
          <w:bCs/>
          <w:kern w:val="1"/>
          <w:sz w:val="30"/>
          <w:szCs w:val="30"/>
          <w:lang w:val="en-US" w:eastAsia="zh-CN" w:bidi="ar"/>
        </w:rPr>
        <w:t>二、公司未按规定披露控股股东非经营性资金占用、关联交易</w:t>
      </w:r>
    </w:p>
    <w:p>
      <w:pPr>
        <w:keepNext w:val="0"/>
        <w:keepLines w:val="0"/>
        <w:widowControl w:val="0"/>
        <w:suppressLineNumbers w:val="0"/>
        <w:suppressAutoHyphens/>
        <w:snapToGrid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default" w:ascii="Times New Roman" w:hAnsi="Times New Roman" w:eastAsia="仿宋_GB2312" w:cs="Times New Roman"/>
          <w:kern w:val="1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2023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年至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2024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年期间，控股股东高鑫金控通过组织、指使公司及其子公司向供应商预付货款、向工程建设方支付预付款、向客户延迟收款等形式，占用公司及其子公司资金。其中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2023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年资金占用发生额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36,878.08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万元，期末余额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11,003.55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万元，占公司当期净资产的比例分别为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12.08%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3.60%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2024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1-6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 xml:space="preserve">月资金占用发生额 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19,258.50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万元，期末余额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25,842.63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万元，占公司当期净资产的比例分别为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6.26%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8.40%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uppressAutoHyphens/>
        <w:snapToGrid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default" w:ascii="Times New Roman" w:hAnsi="Times New Roman" w:eastAsia="仿宋_GB2312" w:cs="Times New Roman"/>
          <w:kern w:val="1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2023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年至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2024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年期间，公司及其子公司与关联方宁夏恺力信、铜川安泰容发生原材料采购、委托加工、厂房和土地租赁等关联交易。其中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2023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年发生额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30,556.15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万元，占公司当期净资产的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10.01%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2024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1-6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月发生额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655.39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元，占公司当期净资产的比例为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0.21%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uppressAutoHyphens/>
        <w:snapToGrid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default" w:ascii="Times New Roman" w:hAnsi="Times New Roman" w:eastAsia="仿宋_GB2312" w:cs="Times New Roman"/>
          <w:kern w:val="1"/>
          <w:sz w:val="30"/>
          <w:szCs w:val="30"/>
        </w:rPr>
      </w:pP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上述事项，公司未按规定及时披露，亦未在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2023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年年度报告、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2024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年半年度报告真实、准确、完整披露，导致相关定期报告存在虚假记载、重大遗漏。公司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2024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年年度报告已披露报告期内控股股东资金占用发生额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19,258.50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万元。截至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2025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5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月立案调查日，案涉占用资金已全部归还。</w:t>
      </w:r>
    </w:p>
    <w:p>
      <w:pPr>
        <w:keepNext w:val="0"/>
        <w:keepLines w:val="0"/>
        <w:widowControl w:val="0"/>
        <w:suppressLineNumbers w:val="0"/>
        <w:suppressAutoHyphens/>
        <w:snapToGrid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default" w:ascii="Times New Roman" w:hAnsi="Times New Roman" w:eastAsia="仿宋_GB2312" w:cs="Times New Roman"/>
          <w:kern w:val="1"/>
          <w:sz w:val="30"/>
          <w:szCs w:val="30"/>
        </w:rPr>
      </w:pP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综上，公司未按规定披露控股股东非经营性资金占用、关联交易，违反了《中华人民共和国证券法》（以下简称《证券法》）第七十八条、第八十条，《上市公司监管指引第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8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号——上市公司资金往来、对外担保的监管要求》第五条，《上海证券交易所股票上市规则（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2024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月修订）》（以下简称《股票上市规则（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2024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月修订）》）第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1.4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条、第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2.1.1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条、第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2.1.4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条、第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2.1.6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条、第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2.1.7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条、第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4.1.3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条、第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6.3.1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条，《上海证券交易所股票上市规则（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2025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月修订）》（以下简称《股票上市规则（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2025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月修订）》）第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1.4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条、第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2.1.1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条、第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2.1.4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条、第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2.1.6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条、第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2.1.7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条、第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4.1.3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条、第</w:t>
      </w:r>
      <w:r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 w:bidi="ar"/>
        </w:rPr>
        <w:t>6.3.1</w:t>
      </w:r>
      <w:r>
        <w:rPr>
          <w:rFonts w:hint="eastAsia" w:ascii="仿宋_GB2312" w:hAnsi="Times New Roman" w:eastAsia="仿宋_GB2312" w:cs="仿宋_GB2312"/>
          <w:kern w:val="1"/>
          <w:sz w:val="30"/>
          <w:szCs w:val="30"/>
          <w:lang w:val="en-US" w:eastAsia="zh-CN" w:bidi="ar"/>
        </w:rPr>
        <w:t>条等有关规定。</w:t>
      </w:r>
    </w:p>
    <w:p>
      <w:pPr>
        <w:snapToGrid w:val="0"/>
        <w:spacing w:line="560" w:lineRule="exact"/>
        <w:ind w:firstLine="600"/>
        <w:jc w:val="both"/>
        <w:rPr>
          <w:rFonts w:hint="eastAsia" w:eastAsia="仿宋_GB2312" w:cs="Times New Roman"/>
          <w:sz w:val="30"/>
          <w:szCs w:val="30"/>
          <w:shd w:val="clear" w:color="auto" w:fill="auto"/>
          <w:lang w:eastAsia="zh-CN"/>
        </w:rPr>
      </w:pPr>
      <w:r>
        <w:rPr>
          <w:rFonts w:hint="eastAsia" w:eastAsia="仿宋_GB2312" w:cs="Times New Roman"/>
          <w:sz w:val="30"/>
          <w:szCs w:val="30"/>
          <w:shd w:val="clear" w:color="auto" w:fill="auto"/>
          <w:lang w:eastAsia="zh-CN"/>
        </w:rPr>
        <w:t>责任人方面，</w:t>
      </w: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auto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《行政处罚事先告知书》</w:t>
      </w: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auto"/>
          <w:lang w:eastAsia="zh-CN"/>
        </w:rPr>
        <w:t>认定，高鑫金控时任董事长王彬，组织安排资金占用，未对案涉关联交易事项保持应有关注，是控股股东高鑫金控违法行为直接负责的主管人员。同时，王彬作为公司时任董事长、财务总监，组织安排资金占用，未对案涉关联交易事项保持应有关注，未能勤勉尽责，未能保证公司及时披露，未能保证相关定期报告真实、准确、完整，是公司信息披露违法违规行为直接负责的主管人员</w:t>
      </w:r>
      <w:r>
        <w:rPr>
          <w:rFonts w:hint="eastAsia" w:eastAsia="仿宋_GB2312" w:cs="Times New Roman"/>
          <w:sz w:val="30"/>
          <w:szCs w:val="30"/>
          <w:shd w:val="clear" w:color="auto" w:fill="auto"/>
          <w:lang w:eastAsia="zh-CN"/>
        </w:rPr>
        <w:t>，其</w:t>
      </w: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auto"/>
          <w:lang w:eastAsia="zh-CN"/>
        </w:rPr>
        <w:t>相关行为严重扰乱证券市场秩序，造成特别恶劣社会影响</w:t>
      </w:r>
      <w:r>
        <w:rPr>
          <w:rFonts w:hint="eastAsia" w:eastAsia="仿宋_GB2312" w:cs="Times New Roman"/>
          <w:sz w:val="30"/>
          <w:szCs w:val="30"/>
          <w:shd w:val="clear" w:color="auto" w:fill="auto"/>
          <w:lang w:eastAsia="zh-CN"/>
        </w:rPr>
        <w:t>，</w:t>
      </w:r>
      <w:r>
        <w:rPr>
          <w:rFonts w:hint="default" w:eastAsia="仿宋_GB2312"/>
          <w:sz w:val="30"/>
          <w:szCs w:val="30"/>
          <w:shd w:val="clear" w:color="auto" w:fill="auto"/>
          <w:lang w:eastAsia="zh-CN"/>
        </w:rPr>
        <w:t>违反了《证券法》第八十二条，《股票上市规则（2024年4月修订）》第1.4条、</w:t>
      </w:r>
      <w:r>
        <w:rPr>
          <w:rFonts w:hint="eastAsia" w:eastAsia="仿宋_GB2312"/>
          <w:sz w:val="30"/>
          <w:szCs w:val="30"/>
          <w:shd w:val="clear" w:color="auto" w:fill="auto"/>
          <w:lang w:eastAsia="zh-CN"/>
        </w:rPr>
        <w:t>第</w:t>
      </w:r>
      <w:r>
        <w:rPr>
          <w:rFonts w:hint="eastAsia" w:eastAsia="仿宋_GB2312"/>
          <w:sz w:val="30"/>
          <w:szCs w:val="30"/>
          <w:shd w:val="clear" w:color="auto" w:fill="auto"/>
          <w:lang w:val="en-US" w:eastAsia="zh-CN"/>
        </w:rPr>
        <w:t>2.1.2条、</w:t>
      </w:r>
      <w:r>
        <w:rPr>
          <w:rFonts w:hint="default" w:eastAsia="仿宋_GB2312"/>
          <w:sz w:val="30"/>
          <w:szCs w:val="30"/>
          <w:shd w:val="clear" w:color="auto" w:fill="auto"/>
          <w:lang w:eastAsia="zh-CN"/>
        </w:rPr>
        <w:t>第4.</w:t>
      </w:r>
      <w:r>
        <w:rPr>
          <w:rFonts w:hint="eastAsia" w:eastAsia="仿宋_GB2312"/>
          <w:sz w:val="30"/>
          <w:szCs w:val="30"/>
          <w:shd w:val="clear" w:color="auto" w:fill="auto"/>
          <w:lang w:val="en-US" w:eastAsia="zh-CN"/>
        </w:rPr>
        <w:t>3</w:t>
      </w:r>
      <w:r>
        <w:rPr>
          <w:rFonts w:hint="default" w:eastAsia="仿宋_GB2312"/>
          <w:sz w:val="30"/>
          <w:szCs w:val="30"/>
          <w:shd w:val="clear" w:color="auto" w:fill="auto"/>
          <w:lang w:eastAsia="zh-CN"/>
        </w:rPr>
        <w:t>.1条、第4.</w:t>
      </w:r>
      <w:r>
        <w:rPr>
          <w:rFonts w:hint="eastAsia" w:eastAsia="仿宋_GB2312"/>
          <w:sz w:val="30"/>
          <w:szCs w:val="30"/>
          <w:shd w:val="clear" w:color="auto" w:fill="auto"/>
          <w:lang w:val="en-US" w:eastAsia="zh-CN"/>
        </w:rPr>
        <w:t>3</w:t>
      </w:r>
      <w:r>
        <w:rPr>
          <w:rFonts w:hint="default" w:eastAsia="仿宋_GB2312"/>
          <w:sz w:val="30"/>
          <w:szCs w:val="30"/>
          <w:shd w:val="clear" w:color="auto" w:fill="auto"/>
          <w:lang w:eastAsia="zh-CN"/>
        </w:rPr>
        <w:t>.</w:t>
      </w:r>
      <w:r>
        <w:rPr>
          <w:rFonts w:hint="eastAsia" w:eastAsia="仿宋_GB2312"/>
          <w:sz w:val="30"/>
          <w:szCs w:val="30"/>
          <w:shd w:val="clear" w:color="auto" w:fill="auto"/>
          <w:lang w:val="en-US" w:eastAsia="zh-CN"/>
        </w:rPr>
        <w:t>5</w:t>
      </w:r>
      <w:r>
        <w:rPr>
          <w:rFonts w:hint="default" w:eastAsia="仿宋_GB2312"/>
          <w:sz w:val="30"/>
          <w:szCs w:val="30"/>
          <w:shd w:val="clear" w:color="auto" w:fill="auto"/>
          <w:lang w:eastAsia="zh-CN"/>
        </w:rPr>
        <w:t>条，《股票上市规则（2025年4月修订）》第1.4条、</w:t>
      </w:r>
      <w:r>
        <w:rPr>
          <w:rFonts w:hint="eastAsia" w:eastAsia="仿宋_GB2312"/>
          <w:sz w:val="30"/>
          <w:szCs w:val="30"/>
          <w:shd w:val="clear" w:color="auto" w:fill="auto"/>
          <w:lang w:eastAsia="zh-CN"/>
        </w:rPr>
        <w:t>第</w:t>
      </w:r>
      <w:r>
        <w:rPr>
          <w:rFonts w:hint="eastAsia" w:eastAsia="仿宋_GB2312"/>
          <w:sz w:val="30"/>
          <w:szCs w:val="30"/>
          <w:shd w:val="clear" w:color="auto" w:fill="auto"/>
          <w:lang w:val="en-US" w:eastAsia="zh-CN"/>
        </w:rPr>
        <w:t>2.1.2条、</w:t>
      </w:r>
      <w:r>
        <w:rPr>
          <w:rFonts w:hint="default" w:eastAsia="仿宋_GB2312"/>
          <w:sz w:val="30"/>
          <w:szCs w:val="30"/>
          <w:shd w:val="clear" w:color="auto" w:fill="auto"/>
          <w:lang w:eastAsia="zh-CN"/>
        </w:rPr>
        <w:t>第4.</w:t>
      </w:r>
      <w:r>
        <w:rPr>
          <w:rFonts w:hint="eastAsia" w:eastAsia="仿宋_GB2312"/>
          <w:sz w:val="30"/>
          <w:szCs w:val="30"/>
          <w:shd w:val="clear" w:color="auto" w:fill="auto"/>
          <w:lang w:val="en-US" w:eastAsia="zh-CN"/>
        </w:rPr>
        <w:t>3</w:t>
      </w:r>
      <w:r>
        <w:rPr>
          <w:rFonts w:hint="default" w:eastAsia="仿宋_GB2312"/>
          <w:sz w:val="30"/>
          <w:szCs w:val="30"/>
          <w:shd w:val="clear" w:color="auto" w:fill="auto"/>
          <w:lang w:eastAsia="zh-CN"/>
        </w:rPr>
        <w:t>.1条、第4.</w:t>
      </w:r>
      <w:r>
        <w:rPr>
          <w:rFonts w:hint="eastAsia" w:eastAsia="仿宋_GB2312"/>
          <w:sz w:val="30"/>
          <w:szCs w:val="30"/>
          <w:shd w:val="clear" w:color="auto" w:fill="auto"/>
          <w:lang w:val="en-US" w:eastAsia="zh-CN"/>
        </w:rPr>
        <w:t>3</w:t>
      </w:r>
      <w:r>
        <w:rPr>
          <w:rFonts w:hint="default" w:eastAsia="仿宋_GB2312"/>
          <w:sz w:val="30"/>
          <w:szCs w:val="30"/>
          <w:shd w:val="clear" w:color="auto" w:fill="auto"/>
          <w:lang w:eastAsia="zh-CN"/>
        </w:rPr>
        <w:t>.</w:t>
      </w:r>
      <w:r>
        <w:rPr>
          <w:rFonts w:hint="eastAsia" w:eastAsia="仿宋_GB2312"/>
          <w:sz w:val="30"/>
          <w:szCs w:val="30"/>
          <w:shd w:val="clear" w:color="auto" w:fill="auto"/>
          <w:lang w:val="en-US" w:eastAsia="zh-CN"/>
        </w:rPr>
        <w:t>5</w:t>
      </w:r>
      <w:r>
        <w:rPr>
          <w:rFonts w:hint="default" w:eastAsia="仿宋_GB2312"/>
          <w:sz w:val="30"/>
          <w:szCs w:val="30"/>
          <w:shd w:val="clear" w:color="auto" w:fill="auto"/>
          <w:lang w:eastAsia="zh-CN"/>
        </w:rPr>
        <w:t>条等有关规定及其在《董事（监事、高级管理人员）声明及承诺书》中作出的承诺</w:t>
      </w:r>
      <w:r>
        <w:rPr>
          <w:rFonts w:hint="eastAsia" w:eastAsia="仿宋_GB2312" w:cs="Times New Roman"/>
          <w:sz w:val="30"/>
          <w:szCs w:val="30"/>
          <w:shd w:val="clear" w:color="auto" w:fill="auto"/>
          <w:lang w:eastAsia="zh-CN"/>
        </w:rPr>
        <w:t>。</w:t>
      </w:r>
    </w:p>
    <w:p>
      <w:pPr>
        <w:numPr>
          <w:ilvl w:val="0"/>
          <w:numId w:val="0"/>
        </w:numPr>
        <w:snapToGrid w:val="0"/>
        <w:spacing w:line="560" w:lineRule="exact"/>
        <w:ind w:firstLine="600" w:firstLineChars="200"/>
        <w:jc w:val="both"/>
        <w:rPr>
          <w:rFonts w:hint="default" w:eastAsia="仿宋_GB2312" w:cs="Times New Roman"/>
          <w:sz w:val="30"/>
          <w:szCs w:val="30"/>
          <w:shd w:val="clear" w:color="auto" w:fill="auto"/>
          <w:lang w:eastAsia="zh-CN"/>
        </w:rPr>
      </w:pPr>
      <w:r>
        <w:rPr>
          <w:rFonts w:hint="eastAsia" w:eastAsia="仿宋_GB2312"/>
          <w:sz w:val="30"/>
          <w:szCs w:val="30"/>
          <w:highlight w:val="none"/>
          <w:lang w:eastAsia="zh-CN"/>
        </w:rPr>
        <w:t>前期，因公司2021年度、2022年度、2023年度存在控股股东及其关联方非经营性资金占用事项，本所已于2024年2月、2024年6月对王彬等有关责任主体作出纪律处分决定（〔2024〕41号、〔2024〕119号），但王彬等有关责任主体仍未积极采取整改措施、如实披露占用情况，2023年度、2024年度再次被查实新增控股股东非经营性资金占用事项，涉及金额较大，严重侵害上市公司和中小投资者利益，情节严重。此外，就公司2023年部分资金占用事项，本所前</w:t>
      </w:r>
      <w:bookmarkStart w:id="0" w:name="_GoBack"/>
      <w:bookmarkEnd w:id="0"/>
      <w:r>
        <w:rPr>
          <w:rFonts w:hint="eastAsia" w:eastAsia="仿宋_GB2312"/>
          <w:sz w:val="30"/>
          <w:szCs w:val="30"/>
          <w:highlight w:val="none"/>
          <w:lang w:eastAsia="zh-CN"/>
        </w:rPr>
        <w:t>期已经作出违规处理，本次不再重复处理</w:t>
      </w:r>
      <w:r>
        <w:rPr>
          <w:rFonts w:hint="eastAsia" w:eastAsia="仿宋_GB2312" w:cs="Times New Roman"/>
          <w:sz w:val="30"/>
          <w:szCs w:val="30"/>
          <w:highlight w:val="none"/>
          <w:lang w:val="en-US" w:eastAsia="zh-CN"/>
        </w:rPr>
        <w:t>。</w:t>
      </w:r>
    </w:p>
    <w:p>
      <w:pPr>
        <w:spacing w:line="560" w:lineRule="exact"/>
        <w:ind w:firstLine="600"/>
        <w:jc w:val="both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鉴于上述违规事实和情节，我部拟提请本所自律监管纪律处分委员会审核，根据《股票上市规则（2024年4月修订）》第13.2.1条、第13.2.3条，《股票上市规则（2025年4月修订）》第13.2.1条、第13.2.3条,《上海证券交易所纪律处分和监管措施实施办法》《上海证券交易所上市公司自律监管指引第10号——纪律处分实施标准》的规定，对海越能源集团股份有限公司时任董事长、财务总监、控股股东铜川高鑫金融控股有限公司董事长王彬予以公开谴责，并公开认定王彬终身不适合担任上市公司董事、高级管理人员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00"/>
        <w:jc w:val="both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上述纪律处分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  <w:t>作出后，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将通报中国证监会和</w:t>
      </w:r>
      <w:r>
        <w:rPr>
          <w:rFonts w:hint="eastAsia" w:eastAsia="仿宋_GB2312" w:cs="Times New Roman"/>
          <w:sz w:val="30"/>
          <w:szCs w:val="30"/>
          <w:highlight w:val="none"/>
          <w:lang w:eastAsia="zh-CN"/>
        </w:rPr>
        <w:t>浙江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  <w:t>省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地方金融管理局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，并记入证券期货市场诚信档案数据库。</w:t>
      </w:r>
    </w:p>
    <w:p>
      <w:pPr>
        <w:adjustRightInd w:val="0"/>
        <w:snapToGrid w:val="0"/>
        <w:spacing w:line="560" w:lineRule="exact"/>
        <w:ind w:firstLine="600"/>
        <w:jc w:val="both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napToGrid w:val="0"/>
        <w:spacing w:line="560" w:lineRule="exact"/>
        <w:ind w:right="2" w:rightChars="1" w:firstLine="600"/>
        <w:jc w:val="right"/>
        <w:rPr>
          <w:rFonts w:hint="eastAsia" w:eastAsia="仿宋_GB2312"/>
          <w:sz w:val="30"/>
          <w:szCs w:val="30"/>
          <w:lang w:eastAsia="zh-CN"/>
        </w:rPr>
      </w:pPr>
      <w:r>
        <w:rPr>
          <w:rFonts w:hint="eastAsia" w:eastAsia="仿宋_GB2312"/>
          <w:sz w:val="30"/>
          <w:szCs w:val="30"/>
          <w:lang w:eastAsia="zh-CN"/>
        </w:rPr>
        <w:t>上海证券交易所上市公司管理二部</w:t>
      </w:r>
    </w:p>
    <w:p>
      <w:pPr>
        <w:wordWrap/>
        <w:snapToGrid w:val="0"/>
        <w:spacing w:line="560" w:lineRule="exact"/>
        <w:ind w:right="2" w:rightChars="1" w:firstLine="600"/>
        <w:jc w:val="right"/>
        <w:rPr>
          <w:rFonts w:hint="default" w:eastAsia="仿宋_GB2312" w:cs="Times New Roman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  <w:lang w:val="en-US" w:eastAsia="zh-CN"/>
        </w:rPr>
        <w:t xml:space="preserve">   </w:t>
      </w:r>
      <w:r>
        <w:rPr>
          <w:rFonts w:hint="eastAsia" w:eastAsia="仿宋_GB2312"/>
          <w:sz w:val="30"/>
          <w:szCs w:val="30"/>
          <w:lang w:eastAsia="zh-CN"/>
        </w:rPr>
        <w:t>二〇二六年六月二十三日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</w:t>
      </w:r>
    </w:p>
    <w:p>
      <w:pPr>
        <w:widowControl/>
        <w:spacing w:line="560" w:lineRule="exact"/>
        <w:ind w:firstLine="0"/>
        <w:jc w:val="left"/>
      </w:pPr>
    </w:p>
    <w:sectPr>
      <w:footerReference r:id="rId3" w:type="default"/>
      <w:pgSz w:w="11906" w:h="16838"/>
      <w:pgMar w:top="1440" w:right="1548" w:bottom="1440" w:left="1548" w:header="720" w:footer="992" w:gutter="0"/>
      <w:cols w:space="720" w:num="1"/>
      <w:docGrid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pict>
        <v:shape id="_x0000_s4097" o:spid="_x0000_s4097" o:spt="202" type="#_x0000_t202" style="position:absolute;left:0pt;margin-left:513.35pt;margin-top:0.05pt;height:9.9pt;width:4.5pt;mso-position-horizontal-relative:page;mso-wrap-distance-bottom:0pt;mso-wrap-distance-left:0pt;mso-wrap-distance-right:0pt;mso-wrap-distance-top:0pt;z-index:251659264;mso-width-relative:page;mso-height-relative:page;" stroked="f" coordsize="21600,21600">
          <v:path/>
          <v:fill color2="#000000" opacity="0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5"/>
                </w:pPr>
                <w:r>
                  <w:rPr>
                    <w:rStyle w:val="10"/>
                  </w:rPr>
                  <w:fldChar w:fldCharType="begin"/>
                </w:r>
                <w:r>
                  <w:rPr>
                    <w:rStyle w:val="10"/>
                  </w:rPr>
                  <w:instrText xml:space="preserve"> PAGE </w:instrText>
                </w:r>
                <w:r>
                  <w:rPr>
                    <w:rStyle w:val="10"/>
                  </w:rPr>
                  <w:fldChar w:fldCharType="separate"/>
                </w:r>
                <w:r>
                  <w:rPr>
                    <w:rStyle w:val="10"/>
                  </w:rPr>
                  <w:t>1</w:t>
                </w:r>
                <w:r>
                  <w:rPr>
                    <w:rStyle w:val="10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3548"/>
    <w:rsid w:val="0002686E"/>
    <w:rsid w:val="000324DB"/>
    <w:rsid w:val="00083548"/>
    <w:rsid w:val="000972CD"/>
    <w:rsid w:val="000D32F7"/>
    <w:rsid w:val="000D7466"/>
    <w:rsid w:val="0016116B"/>
    <w:rsid w:val="00220B03"/>
    <w:rsid w:val="00312F15"/>
    <w:rsid w:val="00321955"/>
    <w:rsid w:val="003C26E9"/>
    <w:rsid w:val="00404D19"/>
    <w:rsid w:val="004F37F2"/>
    <w:rsid w:val="005104D4"/>
    <w:rsid w:val="0059188C"/>
    <w:rsid w:val="005B5A4E"/>
    <w:rsid w:val="005B7728"/>
    <w:rsid w:val="00810739"/>
    <w:rsid w:val="00853659"/>
    <w:rsid w:val="00B37CAB"/>
    <w:rsid w:val="00D867DC"/>
    <w:rsid w:val="00EA4160"/>
    <w:rsid w:val="00F673C5"/>
    <w:rsid w:val="07DBD9F6"/>
    <w:rsid w:val="07F3D2C9"/>
    <w:rsid w:val="1B4DEF22"/>
    <w:rsid w:val="24611DF9"/>
    <w:rsid w:val="2ED7B85F"/>
    <w:rsid w:val="3BD52320"/>
    <w:rsid w:val="3D7ECF76"/>
    <w:rsid w:val="3FB93F46"/>
    <w:rsid w:val="494F4124"/>
    <w:rsid w:val="518F893C"/>
    <w:rsid w:val="5631B1F5"/>
    <w:rsid w:val="57D6B4F3"/>
    <w:rsid w:val="5AFE966B"/>
    <w:rsid w:val="5E7FDC0D"/>
    <w:rsid w:val="5EAFDA24"/>
    <w:rsid w:val="65475DE2"/>
    <w:rsid w:val="65FFE4CF"/>
    <w:rsid w:val="66FC2D11"/>
    <w:rsid w:val="67FF923C"/>
    <w:rsid w:val="6FBF24B7"/>
    <w:rsid w:val="7B7F9A9A"/>
    <w:rsid w:val="7D6E0F69"/>
    <w:rsid w:val="7D9BAC99"/>
    <w:rsid w:val="7DEF5323"/>
    <w:rsid w:val="7DF837E8"/>
    <w:rsid w:val="7E4EB179"/>
    <w:rsid w:val="7FA78AF0"/>
    <w:rsid w:val="7FDB4A53"/>
    <w:rsid w:val="7FE6ADD9"/>
    <w:rsid w:val="7FFE4E11"/>
    <w:rsid w:val="7FFF5CD9"/>
    <w:rsid w:val="8A7B2A43"/>
    <w:rsid w:val="8CD33A77"/>
    <w:rsid w:val="9F8F3220"/>
    <w:rsid w:val="9FBCCC23"/>
    <w:rsid w:val="ABBD9F40"/>
    <w:rsid w:val="AFB73E5E"/>
    <w:rsid w:val="B1FFFC6A"/>
    <w:rsid w:val="BDF62AFB"/>
    <w:rsid w:val="BF37691D"/>
    <w:rsid w:val="BFFD781F"/>
    <w:rsid w:val="C6CCC85B"/>
    <w:rsid w:val="D2FCCBE8"/>
    <w:rsid w:val="D7BE677A"/>
    <w:rsid w:val="D7D11D22"/>
    <w:rsid w:val="D7EA4F33"/>
    <w:rsid w:val="DDBFBCC3"/>
    <w:rsid w:val="DDF99D2F"/>
    <w:rsid w:val="DECF2FF7"/>
    <w:rsid w:val="E254CFD7"/>
    <w:rsid w:val="ECF71D26"/>
    <w:rsid w:val="EF072F0C"/>
    <w:rsid w:val="F47F9442"/>
    <w:rsid w:val="F7FD53B8"/>
    <w:rsid w:val="FA9FD8C3"/>
    <w:rsid w:val="FAFDB63D"/>
    <w:rsid w:val="FBDBD098"/>
    <w:rsid w:val="FBEDFA0F"/>
    <w:rsid w:val="FBEF77D2"/>
    <w:rsid w:val="FD7D0BAF"/>
    <w:rsid w:val="FDDFB344"/>
    <w:rsid w:val="FFE767E9"/>
    <w:rsid w:val="FFFF92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ar-SA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suppressAutoHyphens/>
      <w:jc w:val="left"/>
    </w:pPr>
    <w:rPr>
      <w:rFonts w:asciiTheme="minorHAnsi" w:hAnsiTheme="minorHAnsi" w:eastAsiaTheme="minorEastAsia" w:cstheme="minorBidi"/>
      <w:kern w:val="2"/>
      <w:szCs w:val="22"/>
      <w:lang w:eastAsia="zh-CN"/>
    </w:rPr>
  </w:style>
  <w:style w:type="paragraph" w:styleId="3">
    <w:name w:val="Block Text"/>
    <w:basedOn w:val="1"/>
    <w:qFormat/>
    <w:uiPriority w:val="0"/>
    <w:pPr>
      <w:spacing w:line="360" w:lineRule="auto"/>
      <w:ind w:left="840" w:right="840"/>
      <w:jc w:val="center"/>
    </w:pPr>
    <w:rPr>
      <w:sz w:val="36"/>
    </w:rPr>
  </w:style>
  <w:style w:type="paragraph" w:styleId="4">
    <w:name w:val="Balloon Text"/>
    <w:basedOn w:val="1"/>
    <w:link w:val="15"/>
    <w:semiHidden/>
    <w:unhideWhenUsed/>
    <w:qFormat/>
    <w:uiPriority w:val="99"/>
    <w:pPr>
      <w:suppressAutoHyphens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page number"/>
    <w:basedOn w:val="9"/>
    <w:semiHidden/>
    <w:unhideWhenUsed/>
    <w:qFormat/>
    <w:uiPriority w:val="99"/>
  </w:style>
  <w:style w:type="character" w:styleId="11">
    <w:name w:val="annotation reference"/>
    <w:basedOn w:val="9"/>
    <w:semiHidden/>
    <w:unhideWhenUsed/>
    <w:qFormat/>
    <w:uiPriority w:val="99"/>
    <w:rPr>
      <w:rFonts w:asciiTheme="minorHAnsi" w:hAnsiTheme="minorHAnsi" w:eastAsiaTheme="minorEastAsia" w:cstheme="minorBidi"/>
      <w:sz w:val="21"/>
      <w:szCs w:val="21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suppressAutoHyphens/>
      <w:ind w:firstLine="420" w:firstLineChars="200"/>
    </w:pPr>
    <w:rPr>
      <w:rFonts w:asciiTheme="minorHAnsi" w:hAnsiTheme="minorHAnsi" w:eastAsiaTheme="minorEastAsia" w:cstheme="minorBidi"/>
      <w:kern w:val="2"/>
      <w:szCs w:val="22"/>
      <w:lang w:eastAsia="zh-CN"/>
    </w:rPr>
  </w:style>
  <w:style w:type="character" w:customStyle="1" w:styleId="15">
    <w:name w:val="批注框文本 Char"/>
    <w:basedOn w:val="9"/>
    <w:link w:val="4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6">
    <w:name w:val="批注文字 Char"/>
    <w:basedOn w:val="9"/>
    <w:link w:val="2"/>
    <w:semiHidden/>
    <w:qFormat/>
    <w:uiPriority w:val="99"/>
    <w:rPr>
      <w:rFonts w:asciiTheme="minorHAnsi" w:hAnsiTheme="minorHAnsi" w:eastAsiaTheme="minorEastAsia" w:cstheme="minorBidi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8</Pages>
  <Words>6</Words>
  <Characters>35</Characters>
  <Lines>1</Lines>
  <Paragraphs>1</Paragraphs>
  <TotalTime>2</TotalTime>
  <ScaleCrop>false</ScaleCrop>
  <LinksUpToDate>false</LinksUpToDate>
  <CharactersWithSpaces>40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2017-05-28T18:35:00Z</dcterms:created>
  <dc:creator>覃锦辉(拟稿)</dc:creator>
  <cp:lastModifiedBy>xuebai</cp:lastModifiedBy>
  <cp:lastPrinted>2026-06-23T01:19:00Z</cp:lastPrinted>
  <dcterms:modified xsi:type="dcterms:W3CDTF">2026-06-23T13:47:48Z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DE7D9DF6B7034ADF8240D2BABD755D1E_13</vt:lpwstr>
  </property>
</Properties>
</file>