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1C0FF">
      <w:pPr>
        <w:spacing w:line="600" w:lineRule="exact"/>
        <w:ind w:right="2" w:rightChars="1" w:firstLine="0" w:firstLineChars="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附件：</w:t>
      </w:r>
    </w:p>
    <w:p w14:paraId="2F98BCFD">
      <w:pPr>
        <w:spacing w:line="600" w:lineRule="exact"/>
        <w:ind w:right="2" w:rightChars="1" w:firstLine="0" w:firstLineChars="0"/>
        <w:jc w:val="left"/>
        <w:rPr>
          <w:rFonts w:hint="default" w:ascii="Times New Roman" w:hAnsi="Times New Roman" w:eastAsia="仿宋_GB2312" w:cs="Times New Roman"/>
          <w:sz w:val="30"/>
          <w:szCs w:val="30"/>
        </w:rPr>
      </w:pPr>
    </w:p>
    <w:p w14:paraId="11424B9D">
      <w:pPr>
        <w:spacing w:line="600" w:lineRule="exact"/>
        <w:ind w:right="2" w:rightChars="1" w:firstLine="0" w:firstLineChars="0"/>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关于对</w:t>
      </w:r>
      <w:r>
        <w:rPr>
          <w:rFonts w:hint="default" w:ascii="Times New Roman" w:hAnsi="Times New Roman" w:eastAsia="黑体" w:cs="Times New Roman"/>
          <w:bCs/>
          <w:sz w:val="44"/>
          <w:szCs w:val="44"/>
        </w:rPr>
        <w:t>吉林华微电子股份有限公司时任董事长夏增文</w:t>
      </w:r>
      <w:r>
        <w:rPr>
          <w:rFonts w:hint="default" w:ascii="Times New Roman" w:hAnsi="Times New Roman" w:eastAsia="黑体" w:cs="Times New Roman"/>
          <w:sz w:val="44"/>
          <w:szCs w:val="44"/>
        </w:rPr>
        <w:t>予以</w:t>
      </w:r>
      <w:r>
        <w:rPr>
          <w:rFonts w:hint="default" w:ascii="Times New Roman" w:hAnsi="Times New Roman" w:eastAsia="黑体" w:cs="Times New Roman"/>
          <w:sz w:val="44"/>
          <w:szCs w:val="44"/>
          <w:lang w:eastAsia="zh-CN"/>
        </w:rPr>
        <w:t>纪律处分</w:t>
      </w:r>
      <w:r>
        <w:rPr>
          <w:rFonts w:hint="default" w:ascii="Times New Roman" w:hAnsi="Times New Roman" w:eastAsia="黑体" w:cs="Times New Roman"/>
          <w:sz w:val="44"/>
          <w:szCs w:val="44"/>
        </w:rPr>
        <w:t>的意向书</w:t>
      </w:r>
    </w:p>
    <w:p w14:paraId="673B2924">
      <w:pPr>
        <w:snapToGrid w:val="0"/>
        <w:spacing w:line="600" w:lineRule="exact"/>
        <w:ind w:firstLine="0" w:firstLineChars="0"/>
        <w:rPr>
          <w:rFonts w:hint="default" w:ascii="Times New Roman" w:hAnsi="Times New Roman" w:eastAsia="仿宋_GB2312" w:cs="Times New Roman"/>
          <w:sz w:val="30"/>
          <w:szCs w:val="30"/>
        </w:rPr>
      </w:pPr>
    </w:p>
    <w:p w14:paraId="79B2604A">
      <w:pPr>
        <w:snapToGrid w:val="0"/>
        <w:spacing w:line="600" w:lineRule="exact"/>
        <w:ind w:firstLine="0" w:firstLineChars="0"/>
        <w:rPr>
          <w:rFonts w:hint="default" w:ascii="Times New Roman" w:hAnsi="Times New Roman" w:eastAsia="仿宋_GB2312" w:cs="Times New Roman"/>
          <w:sz w:val="30"/>
        </w:rPr>
      </w:pPr>
      <w:r>
        <w:rPr>
          <w:rFonts w:hint="default" w:ascii="Times New Roman" w:hAnsi="Times New Roman" w:eastAsia="仿宋_GB2312" w:cs="Times New Roman"/>
          <w:sz w:val="30"/>
          <w:szCs w:val="30"/>
        </w:rPr>
        <w:t>吉林华微电子股份有限公司</w:t>
      </w:r>
      <w:r>
        <w:rPr>
          <w:rFonts w:hint="default" w:ascii="Times New Roman" w:hAnsi="Times New Roman" w:eastAsia="仿宋_GB2312" w:cs="Times New Roman"/>
          <w:sz w:val="30"/>
          <w:szCs w:val="30"/>
          <w:lang w:eastAsia="zh-CN"/>
        </w:rPr>
        <w:t>时任董事长夏增文</w:t>
      </w:r>
      <w:r>
        <w:rPr>
          <w:rFonts w:hint="default" w:ascii="Times New Roman" w:hAnsi="Times New Roman" w:eastAsia="仿宋_GB2312" w:cs="Times New Roman"/>
          <w:sz w:val="30"/>
        </w:rPr>
        <w:t>：</w:t>
      </w:r>
    </w:p>
    <w:p w14:paraId="64654B33">
      <w:pPr>
        <w:spacing w:line="600" w:lineRule="exact"/>
        <w:ind w:right="2" w:rightChars="1"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根据中国证监会吉林监管局《行政处罚</w:t>
      </w:r>
      <w:r>
        <w:rPr>
          <w:rFonts w:hint="default" w:ascii="Times New Roman" w:hAnsi="Times New Roman" w:eastAsia="仿宋_GB2312" w:cs="Times New Roman"/>
          <w:sz w:val="30"/>
          <w:szCs w:val="30"/>
          <w:lang w:eastAsia="zh-CN"/>
        </w:rPr>
        <w:t>事先告知书</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lang w:eastAsia="zh-CN"/>
        </w:rPr>
        <w:t>吉</w:t>
      </w:r>
      <w:r>
        <w:rPr>
          <w:rFonts w:hint="default" w:ascii="Times New Roman" w:hAnsi="Times New Roman" w:eastAsia="仿宋_GB2312" w:cs="Times New Roman"/>
          <w:sz w:val="30"/>
          <w:szCs w:val="30"/>
        </w:rPr>
        <w:t>证监处罚字</w:t>
      </w:r>
      <w:r>
        <w:rPr>
          <w:rFonts w:hint="default" w:ascii="Times New Roman" w:hAnsi="Times New Roman" w:eastAsia="仿宋_GB2312" w:cs="Times New Roman"/>
          <w:sz w:val="30"/>
          <w:szCs w:val="30"/>
        </w:rPr>
        <w:t>〔2025〕1号，以下简称《</w:t>
      </w:r>
      <w:r>
        <w:rPr>
          <w:rFonts w:hint="default" w:ascii="Times New Roman" w:hAnsi="Times New Roman" w:eastAsia="仿宋_GB2312" w:cs="Times New Roman"/>
          <w:sz w:val="30"/>
          <w:szCs w:val="30"/>
          <w:lang w:eastAsia="zh-CN"/>
        </w:rPr>
        <w:t>事先告知书</w:t>
      </w:r>
      <w:r>
        <w:rPr>
          <w:rFonts w:hint="default" w:ascii="Times New Roman" w:hAnsi="Times New Roman" w:eastAsia="仿宋_GB2312" w:cs="Times New Roman"/>
          <w:sz w:val="30"/>
          <w:szCs w:val="30"/>
        </w:rPr>
        <w:t>》）查明的相关事实，吉林华微电子股份有限公司（以下简称华微电子或者公司）、控股股东上海鹏盛科技实业有限公司（以下简称上海鹏盛）存在以下违规行为。</w:t>
      </w:r>
    </w:p>
    <w:p w14:paraId="564BB789">
      <w:pPr>
        <w:spacing w:line="600" w:lineRule="exact"/>
        <w:ind w:right="2" w:rightChars="1" w:firstLine="600" w:firstLineChars="20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（一）华微电子未按规定披露控股股东及其关联方非经营性资金占用事项，2015年至2023年年度报告存在重大遗漏</w:t>
      </w:r>
    </w:p>
    <w:p w14:paraId="0197202E">
      <w:pPr>
        <w:spacing w:line="600" w:lineRule="exact"/>
        <w:ind w:right="2" w:rightChars="1"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上海鹏盛、上海奔赛实业有限公司（后更名为上海芙拉沃科技有限公司，以下简称上海奔赛、上海芙拉沃）为华微电子的控股股东及其关联方。2015年至2023年，根据控股股东上海鹏盛的要求，华微电子持续以预付设备款等名义，与上海奔赛（上海芙拉沃）等公司进行资金往来，相关资金往来均无商业实质，构成非经营性资金占用。上海鹏盛及其关联方持续非经营性占用华微电子资金，用于上海鹏盛及其关联方偿还对外借款及利息、收购股权、对华微电子增资配股、解除所持有的华微电子股权质押以及维持日常经营等用途。截至2024年10月15日，未被偿还的非经营性资金占用余额为149,067.82万元。具体情况如下：</w:t>
      </w:r>
    </w:p>
    <w:p w14:paraId="6525892C">
      <w:pPr>
        <w:spacing w:line="600" w:lineRule="exact"/>
        <w:ind w:right="2" w:rightChars="1"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2015年，华微电子非经营性资金占用发生额984,500,000元，占当时最近一期（2014年）经审计净资产的50.14%，占当期（2015年）经审计净资产的49.34%。截至2015年12月31日，未被偿还的非经营性资金占用余额为-1000万元。</w:t>
      </w:r>
    </w:p>
    <w:p w14:paraId="53424FA8">
      <w:pPr>
        <w:spacing w:line="600" w:lineRule="exact"/>
        <w:ind w:right="2" w:rightChars="1"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2016年，华微电子非经营性资金占用发生额2,105,812,001元，占当时最近一期（2015年）经审计净资产的105.54%，占当期（2016年）经审计净资产的103.92%。截至2016年12月31日，未被偿还的非经营性资金占用余额为0元。</w:t>
      </w:r>
    </w:p>
    <w:p w14:paraId="47BF4762">
      <w:pPr>
        <w:spacing w:line="600" w:lineRule="exact"/>
        <w:ind w:right="2" w:rightChars="1"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2017年，华微电子非经营性资金占用发生额1,386,943,342.92元，占当时最近一期（2016年）经审计净资产的68.44%，占当期（2017年）经审计净资产的65.39%。截至2017年12月31日，未被偿还的非经营性资金占用余额为0元。</w:t>
      </w:r>
    </w:p>
    <w:p w14:paraId="05F3E9E5">
      <w:pPr>
        <w:spacing w:line="600" w:lineRule="exact"/>
        <w:ind w:right="2" w:rightChars="1"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2018年，华微电子非经营性资金占用发生额3,221,866,474.54元，占当时最近一期（2017年）经审计净资产的151.9%，占当期（2018年）经审计净资产的143.29%。截至2018年12月31日，未被偿还的非经营性资金占用余额为0元。</w:t>
      </w:r>
    </w:p>
    <w:p w14:paraId="29561870">
      <w:pPr>
        <w:spacing w:line="600" w:lineRule="exact"/>
        <w:ind w:right="2" w:rightChars="1"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2019年，华微电子非经营性资金占用发生额4,123,314,373.83元，占当时最近一期（2018年）经审计净资产的183.38%，占当期（2019年）经审计净资产的132.67%。截至2019年12月31日，未被偿还的非经营性资金占用余额为108,070,551.32元，占华微电子当期经审计净资产的3.48%。</w:t>
      </w:r>
    </w:p>
    <w:p w14:paraId="0B52B172">
      <w:pPr>
        <w:spacing w:line="600" w:lineRule="exact"/>
        <w:ind w:right="2" w:rightChars="1"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2020年，华微电子非经营性资金占用发生额4,141,026,914元，占当时最近一期（2019年）经审计净资产的133.24%，占当期（2020年）经审计净资产的132.75%。截至2020年12月31日，未被偿还的非经营性资金占用余额为1,141,051,645.32元，占华微电子当期经审计净资产的36.58%。</w:t>
      </w:r>
    </w:p>
    <w:p w14:paraId="2A068866">
      <w:pPr>
        <w:spacing w:line="600" w:lineRule="exact"/>
        <w:ind w:right="2" w:rightChars="1"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2021年，华微电子非经营性资金占用发生额1,264,636,614元，占当时最近一期（2020年）经审计净资产的40.54%，占当期（2021年）经审计净资产的39.26%。截至2021年12月31日，未被偿还的非经营性资金占用余额为1,441,280,159.32元，占华微电子当期经审计净资产的44.75%。</w:t>
      </w:r>
    </w:p>
    <w:p w14:paraId="34914DAD">
      <w:pPr>
        <w:spacing w:line="600" w:lineRule="exact"/>
        <w:ind w:right="2" w:rightChars="1"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2022年，华微电子非经营性资金占用发生额107,420,000元，占当时最近一期（2021年）经审计净资产的3.34%，占当期（2022年）经审计净资产的3.31%。截至2022年12月31日，未被偿还的非经营性资金占用余额为1,473,214,159.32元，占华微电子当期经审计净资产的45.43%。</w:t>
      </w:r>
    </w:p>
    <w:p w14:paraId="57FC548F">
      <w:pPr>
        <w:spacing w:line="600" w:lineRule="exact"/>
        <w:ind w:right="2" w:rightChars="1"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2023年，华微电子非经营性资金占用发生额33,120,000元，占当时最近一期（2022年）经审计净资产的1.02%，占当期（2023年）经审计净资产的1.02%。截至2023年12月31日，未被偿还的非经营性资金占用余额为1,492,369,173.21元，占华微电子当期经审计净资产的45.75%。</w:t>
      </w:r>
    </w:p>
    <w:p w14:paraId="1A376CD2">
      <w:pPr>
        <w:spacing w:line="600" w:lineRule="exact"/>
        <w:ind w:right="2" w:rightChars="1"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直至2024年6月8日，华微电子才在《吉林华微电子股份有限公司对上海证券交易所关于公司2023年年度报告的信息披露监管问询函的回复公告》（公告编号2024-033）中披露非经营性资金占用事项。</w:t>
      </w:r>
    </w:p>
    <w:p w14:paraId="4C1E9001">
      <w:pPr>
        <w:spacing w:line="600" w:lineRule="exact"/>
        <w:ind w:right="2" w:rightChars="1"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依据2005年修订、2014年修正的《中华人民共和国证券法》（以下简称2005年《证券法》）第六十七条第一款、第二款第十二项、2019年修订的《中华人民共和国证券法》（以下简称《证券法》）第七十八条第一款、第八十条第一款、第二款第三项的规定，华微电子应当及时披露上述控股股东及其关联方非经营性资金占用情况，华微电子未按规定及时予以披露。</w:t>
      </w:r>
    </w:p>
    <w:p w14:paraId="136AE919">
      <w:pPr>
        <w:spacing w:line="600" w:lineRule="exact"/>
        <w:ind w:right="2" w:rightChars="1"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依据2005年《证券法》第六十三条、第六十六条第六项、依据2005年《证券法》第六十三条、第六十六条第六项、《证券法》第七十八条第二款、第七十九条、《公开发行证券的公司信息披露内容与格式准则第2号——年度报告的内容与格式》（证监会公告〔2015〕24号、证监会公告〔2016〕31号、证监会公告〔2017〕17号）第三十一条、第四十条、《公开发行证券的公司信息披露内容与格式准则第2号——年度报告的内容与格式》（证监会公告〔2021〕15号）第四十五条、第五十四条的规定，华微电子应当在相关年度报告中披露上述控股股东及其关联方非经营性资金占用情况。华微电子2015年至2023年年度报告未披露前述情况，存在重大遗漏。</w:t>
      </w:r>
    </w:p>
    <w:p w14:paraId="6564D8E7">
      <w:pPr>
        <w:spacing w:line="600" w:lineRule="exact"/>
        <w:ind w:right="2" w:rightChars="1" w:firstLine="600" w:firstLineChars="20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（二）华微电子在交易所问询函回复等临时公告中存在虚假记载</w:t>
      </w:r>
    </w:p>
    <w:p w14:paraId="36CF1AC7">
      <w:pPr>
        <w:spacing w:line="600" w:lineRule="exact"/>
        <w:ind w:right="2" w:rightChars="1"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2019年12月19日，华微电子发布《关于对上海证券交易所监管工作函的回复公告》（公告编号：2019-061）；2020年8月21日，华微电子发布《关于对上海证券交易所对公司2019年年度报告信息披露监管问询函的回复公告》（公告编号2020-039）；2022年1月26日，华微电子发布《关于上海证券交易所&lt;关于对吉林华微电子股份有限公司资产池业务相关事项的问询函＞的回复公告》（公告编号：2022-010）；2022年4月30日，华微电子发布《关于对上海证券交易所信访投诉及媒体报道相关事项的监管工作函的回复公告》（公告编号：2022-032）；2023年11月11日，华微电子发布《对上海证券交易所&lt;关于吉林华微电子股份有限公司信访投诉相关事项的监管工作函＞的回复公告》（公告编号：2023-032），在上述临时公告中，华微电子否认控股股东上海鹏盛与上海奔赛（上海芙拉沃）存在关联关系；否认华微电子与上海奔赛（上海芙拉沃）存在资金往来；否认存在控股股东及其关联方非经营性资金占用的情形。经查明，华微电子上述临时公告内容与事实不符，存在虚假记载。</w:t>
      </w:r>
    </w:p>
    <w:p w14:paraId="73465E12">
      <w:pPr>
        <w:spacing w:line="600" w:lineRule="exact"/>
        <w:ind w:right="2" w:rightChars="1" w:firstLine="600" w:firstLineChars="20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（三）华微电子2019年发布的《配股说明书》等临时公告中存在重大遗漏</w:t>
      </w:r>
    </w:p>
    <w:p w14:paraId="02789ABE">
      <w:pPr>
        <w:spacing w:line="600" w:lineRule="exact"/>
        <w:ind w:right="2" w:rightChars="1"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2019年4月1日，华微电子发布《吉林华微电子股份有限公司配股说明书》等临时公告，《吉林华微电子股份有限公司配股说明书》中未披露报告期内控股股东上海鹏盛及其关联方对华微电子的非经营性资金占用情况，存在重大遗漏。</w:t>
      </w:r>
    </w:p>
    <w:p w14:paraId="2DCDC111">
      <w:pPr>
        <w:spacing w:line="600" w:lineRule="exact"/>
        <w:ind w:right="2" w:rightChars="1"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综上</w:t>
      </w:r>
      <w:r>
        <w:rPr>
          <w:rFonts w:hint="default" w:ascii="Times New Roman" w:hAnsi="Times New Roman" w:eastAsia="仿宋_GB2312" w:cs="Times New Roman"/>
          <w:sz w:val="30"/>
          <w:szCs w:val="30"/>
          <w:lang w:eastAsia="zh-CN"/>
        </w:rPr>
        <w:t>，公司未按规定披露控股股东及其关联方非经营性资金占用事项，2015年至2023年年度报告存在重大遗漏，在交易所问询函回复、《配股说明书》等临时公告中存在虚假记载、重大遗漏，上述行为</w:t>
      </w:r>
      <w:r>
        <w:rPr>
          <w:rFonts w:hint="default" w:ascii="Times New Roman" w:hAnsi="Times New Roman" w:eastAsia="仿宋_GB2312" w:cs="Times New Roman"/>
          <w:sz w:val="30"/>
          <w:szCs w:val="30"/>
        </w:rPr>
        <w:t>严重违反了2005年《证券法》第六十三条、第六十六条第六项、第六十七条第一款、第二款第十二项</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rPr>
        <w:t>《证券法》第七十八条第一款、第二款、第七十九条、第八十条第一款、第二款第三项</w:t>
      </w:r>
      <w:r>
        <w:rPr>
          <w:rFonts w:hint="default" w:ascii="Times New Roman" w:hAnsi="Times New Roman" w:eastAsia="仿宋_GB2312" w:cs="Times New Roman"/>
          <w:sz w:val="30"/>
          <w:szCs w:val="30"/>
          <w:lang w:val="en-US" w:eastAsia="zh-CN"/>
        </w:rPr>
        <w:t>，《上市公司监管指引第8号——上市公司资金往来、对外担保的监管要求》第五条以及</w:t>
      </w:r>
      <w:r>
        <w:rPr>
          <w:rFonts w:hint="default" w:ascii="Times New Roman" w:hAnsi="Times New Roman" w:eastAsia="仿宋_GB2312" w:cs="Times New Roman"/>
          <w:sz w:val="30"/>
          <w:szCs w:val="30"/>
        </w:rPr>
        <w:t>《上海证券交易所股票上市规则》（以下简称《股票上市规则》）第1.4条、第2.1</w:t>
      </w:r>
      <w:r>
        <w:rPr>
          <w:rFonts w:hint="default"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rPr>
        <w:t>条、第2.</w:t>
      </w:r>
      <w:r>
        <w:rPr>
          <w:rFonts w:hint="default" w:ascii="Times New Roman" w:hAnsi="Times New Roman" w:eastAsia="仿宋_GB2312" w:cs="Times New Roman"/>
          <w:sz w:val="30"/>
          <w:szCs w:val="30"/>
          <w:lang w:val="en-US" w:eastAsia="zh-CN"/>
        </w:rPr>
        <w:t>1.4</w:t>
      </w:r>
      <w:r>
        <w:rPr>
          <w:rFonts w:hint="default" w:ascii="Times New Roman" w:hAnsi="Times New Roman" w:eastAsia="仿宋_GB2312" w:cs="Times New Roman"/>
          <w:sz w:val="30"/>
          <w:szCs w:val="30"/>
        </w:rPr>
        <w:t>条</w:t>
      </w:r>
      <w:r>
        <w:rPr>
          <w:rFonts w:hint="default" w:ascii="Times New Roman" w:hAnsi="Times New Roman" w:eastAsia="仿宋_GB2312" w:cs="Times New Roman"/>
          <w:sz w:val="30"/>
          <w:szCs w:val="30"/>
          <w:lang w:eastAsia="zh-CN"/>
        </w:rPr>
        <w:t>、第</w:t>
      </w:r>
      <w:r>
        <w:rPr>
          <w:rFonts w:hint="default" w:ascii="Times New Roman" w:hAnsi="Times New Roman" w:eastAsia="仿宋_GB2312" w:cs="Times New Roman"/>
          <w:sz w:val="30"/>
          <w:szCs w:val="30"/>
          <w:lang w:val="en-US" w:eastAsia="zh-CN"/>
        </w:rPr>
        <w:t>2.1.6条</w:t>
      </w:r>
      <w:r>
        <w:rPr>
          <w:rFonts w:hint="default" w:ascii="Times New Roman" w:hAnsi="Times New Roman" w:eastAsia="仿宋_GB2312" w:cs="Times New Roman"/>
          <w:sz w:val="30"/>
          <w:szCs w:val="30"/>
        </w:rPr>
        <w:t>等有关规定。</w:t>
      </w:r>
    </w:p>
    <w:p w14:paraId="35338ABC">
      <w:pPr>
        <w:spacing w:line="600" w:lineRule="exact"/>
        <w:ind w:right="2" w:rightChars="1" w:firstLine="600" w:firstLineChars="200"/>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sz w:val="30"/>
          <w:szCs w:val="30"/>
          <w:lang w:eastAsia="zh-CN"/>
        </w:rPr>
        <w:t>责任人方面，根据《</w:t>
      </w:r>
      <w:r>
        <w:rPr>
          <w:rFonts w:hint="default" w:ascii="Times New Roman" w:hAnsi="Times New Roman" w:eastAsia="仿宋_GB2312" w:cs="Times New Roman"/>
          <w:sz w:val="30"/>
          <w:szCs w:val="30"/>
          <w:lang w:eastAsia="zh-CN"/>
        </w:rPr>
        <w:t>事先告知书</w:t>
      </w:r>
      <w:r>
        <w:rPr>
          <w:rFonts w:hint="default" w:ascii="Times New Roman" w:hAnsi="Times New Roman" w:eastAsia="仿宋_GB2312" w:cs="Times New Roman"/>
          <w:sz w:val="30"/>
          <w:szCs w:val="30"/>
          <w:lang w:eastAsia="zh-CN"/>
        </w:rPr>
        <w:t>》认定，公司时任董事长夏增文是</w:t>
      </w:r>
      <w:r>
        <w:rPr>
          <w:rFonts w:hint="default" w:ascii="Times New Roman" w:hAnsi="Times New Roman" w:eastAsia="仿宋_GB2312" w:cs="Times New Roman"/>
          <w:sz w:val="30"/>
          <w:szCs w:val="30"/>
          <w:lang w:eastAsia="zh-CN"/>
        </w:rPr>
        <w:t>公司</w:t>
      </w:r>
      <w:r>
        <w:rPr>
          <w:rFonts w:hint="default" w:ascii="Times New Roman" w:hAnsi="Times New Roman" w:eastAsia="仿宋_GB2312" w:cs="Times New Roman"/>
          <w:sz w:val="30"/>
          <w:szCs w:val="30"/>
          <w:lang w:eastAsia="zh-CN"/>
        </w:rPr>
        <w:t>上述</w:t>
      </w:r>
      <w:r>
        <w:rPr>
          <w:rFonts w:hint="default" w:ascii="Times New Roman" w:hAnsi="Times New Roman" w:eastAsia="仿宋_GB2312" w:cs="Times New Roman"/>
          <w:sz w:val="30"/>
          <w:szCs w:val="30"/>
          <w:lang w:eastAsia="zh-CN"/>
        </w:rPr>
        <w:t>违法行为的</w:t>
      </w:r>
      <w:r>
        <w:rPr>
          <w:rFonts w:hint="default" w:ascii="Times New Roman" w:hAnsi="Times New Roman" w:eastAsia="仿宋_GB2312" w:cs="Times New Roman"/>
          <w:sz w:val="30"/>
          <w:szCs w:val="30"/>
          <w:lang w:eastAsia="zh-CN"/>
        </w:rPr>
        <w:t>直接负责的主管人员</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kern w:val="0"/>
          <w:sz w:val="30"/>
          <w:szCs w:val="30"/>
        </w:rPr>
        <w:t>违</w:t>
      </w:r>
      <w:bookmarkStart w:id="0" w:name="_GoBack"/>
      <w:bookmarkEnd w:id="0"/>
      <w:r>
        <w:rPr>
          <w:rFonts w:hint="default" w:ascii="Times New Roman" w:hAnsi="Times New Roman" w:eastAsia="仿宋_GB2312" w:cs="Times New Roman"/>
          <w:kern w:val="0"/>
          <w:sz w:val="30"/>
          <w:szCs w:val="30"/>
        </w:rPr>
        <w:t>反了</w:t>
      </w:r>
      <w:r>
        <w:rPr>
          <w:rFonts w:hint="default" w:ascii="Times New Roman" w:hAnsi="Times New Roman" w:eastAsia="仿宋_GB2312" w:cs="Times New Roman"/>
          <w:kern w:val="0"/>
          <w:sz w:val="30"/>
          <w:szCs w:val="30"/>
          <w:lang w:val="en-US" w:eastAsia="zh-CN"/>
        </w:rPr>
        <w:t>2005年《证券法》第六十八条第三款、</w:t>
      </w:r>
      <w:r>
        <w:rPr>
          <w:rFonts w:hint="default" w:ascii="Times New Roman" w:hAnsi="Times New Roman" w:eastAsia="仿宋_GB2312" w:cs="Times New Roman"/>
          <w:kern w:val="0"/>
          <w:sz w:val="30"/>
          <w:szCs w:val="30"/>
        </w:rPr>
        <w:t>《证券法》第八十二条第三款</w:t>
      </w:r>
      <w:r>
        <w:rPr>
          <w:rFonts w:hint="default" w:ascii="Times New Roman" w:hAnsi="Times New Roman" w:eastAsia="仿宋_GB2312" w:cs="Times New Roman"/>
          <w:kern w:val="0"/>
          <w:sz w:val="30"/>
          <w:szCs w:val="30"/>
          <w:lang w:eastAsia="zh-CN"/>
        </w:rPr>
        <w:t>，以及</w:t>
      </w:r>
      <w:r>
        <w:rPr>
          <w:rFonts w:hint="default" w:ascii="Times New Roman" w:hAnsi="Times New Roman" w:eastAsia="仿宋_GB2312" w:cs="Times New Roman"/>
          <w:sz w:val="30"/>
          <w:szCs w:val="30"/>
        </w:rPr>
        <w:t>《股票上市规则》</w:t>
      </w:r>
      <w:r>
        <w:rPr>
          <w:rFonts w:hint="default" w:ascii="Times New Roman" w:hAnsi="Times New Roman" w:eastAsia="仿宋_GB2312" w:cs="Times New Roman"/>
          <w:sz w:val="30"/>
          <w:szCs w:val="30"/>
          <w:lang w:eastAsia="zh-CN"/>
        </w:rPr>
        <w:t>第</w:t>
      </w:r>
      <w:r>
        <w:rPr>
          <w:rFonts w:hint="default" w:ascii="Times New Roman" w:hAnsi="Times New Roman" w:eastAsia="仿宋_GB2312" w:cs="Times New Roman"/>
          <w:sz w:val="30"/>
          <w:szCs w:val="30"/>
          <w:lang w:val="en-US" w:eastAsia="zh-CN"/>
        </w:rPr>
        <w:t>1.4条、第2.1.2条、第4.3.1条、第4.3.5条等有关规定。</w:t>
      </w:r>
    </w:p>
    <w:p w14:paraId="2D976F71">
      <w:pPr>
        <w:snapToGrid w:val="0"/>
        <w:spacing w:line="60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kern w:val="0"/>
          <w:sz w:val="30"/>
          <w:szCs w:val="30"/>
        </w:rPr>
        <w:t>鉴于前述违规事实和情节</w:t>
      </w:r>
      <w:r>
        <w:rPr>
          <w:rFonts w:hint="default" w:ascii="Times New Roman" w:hAnsi="Times New Roman" w:eastAsia="仿宋_GB2312" w:cs="Times New Roman"/>
          <w:kern w:val="0"/>
          <w:sz w:val="30"/>
          <w:szCs w:val="30"/>
          <w:lang w:eastAsia="zh-CN"/>
        </w:rPr>
        <w:t>，</w:t>
      </w:r>
      <w:r>
        <w:rPr>
          <w:rFonts w:hint="default" w:ascii="Times New Roman" w:hAnsi="Times New Roman" w:eastAsia="仿宋_GB2312" w:cs="Times New Roman"/>
          <w:sz w:val="30"/>
          <w:szCs w:val="30"/>
        </w:rPr>
        <w:t>我部拟提请本所纪律处分委员会审核</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根据《股票上市规则》</w:t>
      </w:r>
      <w:r>
        <w:rPr>
          <w:rFonts w:hint="default" w:ascii="Times New Roman" w:hAnsi="Times New Roman" w:eastAsia="仿宋_GB2312" w:cs="Times New Roman"/>
          <w:sz w:val="30"/>
          <w:szCs w:val="30"/>
          <w:lang w:eastAsia="zh-CN"/>
        </w:rPr>
        <w:t>第</w:t>
      </w:r>
      <w:r>
        <w:rPr>
          <w:rFonts w:hint="default" w:ascii="Times New Roman" w:hAnsi="Times New Roman" w:eastAsia="仿宋_GB2312" w:cs="Times New Roman"/>
          <w:sz w:val="30"/>
          <w:szCs w:val="30"/>
          <w:lang w:val="en-US" w:eastAsia="zh-CN"/>
        </w:rPr>
        <w:t>13.2.1条、</w:t>
      </w:r>
      <w:r>
        <w:rPr>
          <w:rFonts w:hint="default" w:ascii="Times New Roman" w:hAnsi="Times New Roman" w:eastAsia="仿宋_GB2312" w:cs="Times New Roman"/>
          <w:sz w:val="30"/>
          <w:szCs w:val="30"/>
        </w:rPr>
        <w:t>第</w:t>
      </w:r>
      <w:r>
        <w:rPr>
          <w:rFonts w:hint="default" w:ascii="Times New Roman" w:hAnsi="Times New Roman" w:eastAsia="仿宋_GB2312" w:cs="Times New Roman"/>
          <w:sz w:val="30"/>
          <w:szCs w:val="30"/>
          <w:lang w:val="en-US" w:eastAsia="zh-CN"/>
        </w:rPr>
        <w:t>13.2.3</w:t>
      </w:r>
      <w:r>
        <w:rPr>
          <w:rFonts w:hint="default" w:ascii="Times New Roman" w:hAnsi="Times New Roman" w:eastAsia="仿宋_GB2312" w:cs="Times New Roman"/>
          <w:sz w:val="30"/>
          <w:szCs w:val="30"/>
        </w:rPr>
        <w:t>条的规定</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对吉林华微电子股份有限公司</w:t>
      </w:r>
      <w:r>
        <w:rPr>
          <w:rFonts w:hint="default" w:ascii="Times New Roman" w:hAnsi="Times New Roman" w:eastAsia="仿宋_GB2312" w:cs="Times New Roman"/>
          <w:sz w:val="30"/>
          <w:szCs w:val="30"/>
          <w:lang w:eastAsia="zh-CN"/>
        </w:rPr>
        <w:t>时任董事长夏增文予以公开谴责，并公开认定夏增文终身不适合担任上市公司董事、监事、高级管理人员。</w:t>
      </w:r>
    </w:p>
    <w:p w14:paraId="280B7434">
      <w:pPr>
        <w:spacing w:line="600" w:lineRule="exact"/>
        <w:ind w:right="2" w:rightChars="1"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上述纪律处分作出后，将通报中国证监会和</w:t>
      </w:r>
      <w:r>
        <w:rPr>
          <w:rFonts w:hint="default" w:ascii="Times New Roman" w:hAnsi="Times New Roman" w:eastAsia="仿宋_GB2312" w:cs="Times New Roman"/>
          <w:sz w:val="30"/>
          <w:szCs w:val="30"/>
          <w:lang w:eastAsia="zh-CN"/>
        </w:rPr>
        <w:t>吉林省</w:t>
      </w:r>
      <w:r>
        <w:rPr>
          <w:rFonts w:hint="default" w:ascii="Times New Roman" w:hAnsi="Times New Roman" w:eastAsia="仿宋_GB2312" w:cs="Times New Roman"/>
          <w:sz w:val="30"/>
          <w:szCs w:val="30"/>
        </w:rPr>
        <w:t>地方金融管理局，并记入</w:t>
      </w:r>
      <w:r>
        <w:rPr>
          <w:rFonts w:hint="default" w:ascii="Times New Roman" w:hAnsi="Times New Roman" w:eastAsia="仿宋_GB2312" w:cs="Times New Roman"/>
          <w:sz w:val="30"/>
          <w:szCs w:val="30"/>
          <w:lang w:eastAsia="zh-CN"/>
        </w:rPr>
        <w:t>证券期货市场诚信档案数据库</w:t>
      </w:r>
      <w:r>
        <w:rPr>
          <w:rFonts w:hint="default" w:ascii="Times New Roman" w:hAnsi="Times New Roman" w:eastAsia="仿宋_GB2312" w:cs="Times New Roman"/>
          <w:sz w:val="30"/>
          <w:szCs w:val="30"/>
        </w:rPr>
        <w:t>。</w:t>
      </w:r>
    </w:p>
    <w:p w14:paraId="4A4E4336">
      <w:pPr>
        <w:spacing w:line="600" w:lineRule="exact"/>
        <w:ind w:right="2" w:rightChars="1" w:firstLine="600" w:firstLineChars="200"/>
        <w:rPr>
          <w:rFonts w:hint="default" w:ascii="Times New Roman" w:hAnsi="Times New Roman" w:eastAsia="仿宋_GB2312" w:cs="Times New Roman"/>
          <w:sz w:val="30"/>
          <w:szCs w:val="30"/>
        </w:rPr>
      </w:pPr>
    </w:p>
    <w:p w14:paraId="1998AE4C">
      <w:pPr>
        <w:spacing w:line="600" w:lineRule="exact"/>
        <w:ind w:right="2" w:rightChars="1" w:firstLine="600" w:firstLineChars="200"/>
        <w:rPr>
          <w:rFonts w:hint="default" w:ascii="Times New Roman" w:hAnsi="Times New Roman" w:eastAsia="仿宋_GB2312" w:cs="Times New Roman"/>
          <w:sz w:val="30"/>
          <w:szCs w:val="30"/>
        </w:rPr>
      </w:pPr>
    </w:p>
    <w:p w14:paraId="331EFC8B">
      <w:pPr>
        <w:spacing w:line="600" w:lineRule="exact"/>
        <w:ind w:right="2" w:rightChars="1" w:firstLine="600" w:firstLineChars="200"/>
        <w:jc w:val="righ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上海证券交易所上市公司管理二部</w:t>
      </w:r>
    </w:p>
    <w:p w14:paraId="607DD2AE">
      <w:pPr>
        <w:ind w:firstLine="0" w:firstLineChars="0"/>
        <w:jc w:val="righ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二〇二</w:t>
      </w:r>
      <w:r>
        <w:rPr>
          <w:rFonts w:hint="default" w:ascii="Times New Roman" w:hAnsi="Times New Roman" w:eastAsia="仿宋_GB2312" w:cs="Times New Roman"/>
          <w:sz w:val="30"/>
          <w:szCs w:val="30"/>
          <w:lang w:eastAsia="zh-CN"/>
        </w:rPr>
        <w:t>五</w:t>
      </w:r>
      <w:r>
        <w:rPr>
          <w:rFonts w:hint="default" w:ascii="Times New Roman" w:hAnsi="Times New Roman" w:eastAsia="仿宋_GB2312" w:cs="Times New Roman"/>
          <w:sz w:val="30"/>
          <w:szCs w:val="30"/>
        </w:rPr>
        <w:t>年</w:t>
      </w:r>
      <w:r>
        <w:rPr>
          <w:rFonts w:hint="default" w:ascii="Times New Roman" w:hAnsi="Times New Roman" w:eastAsia="仿宋_GB2312" w:cs="Times New Roman"/>
          <w:sz w:val="30"/>
          <w:szCs w:val="30"/>
          <w:lang w:eastAsia="zh-CN"/>
        </w:rPr>
        <w:t>二</w:t>
      </w:r>
      <w:r>
        <w:rPr>
          <w:rFonts w:hint="default" w:ascii="Times New Roman" w:hAnsi="Times New Roman" w:eastAsia="仿宋_GB2312" w:cs="Times New Roman"/>
          <w:sz w:val="30"/>
          <w:szCs w:val="30"/>
        </w:rPr>
        <w:t>月</w:t>
      </w:r>
      <w:r>
        <w:rPr>
          <w:rFonts w:hint="default" w:ascii="Times New Roman" w:hAnsi="Times New Roman" w:eastAsia="仿宋_GB2312" w:cs="Times New Roman"/>
          <w:sz w:val="30"/>
          <w:szCs w:val="30"/>
          <w:lang w:eastAsia="zh-CN"/>
        </w:rPr>
        <w:t>十八</w:t>
      </w:r>
      <w:r>
        <w:rPr>
          <w:rFonts w:hint="default" w:ascii="Times New Roman" w:hAnsi="Times New Roman" w:eastAsia="仿宋_GB2312" w:cs="Times New Roman"/>
          <w:sz w:val="30"/>
          <w:szCs w:val="30"/>
        </w:rPr>
        <w:t>日</w:t>
      </w:r>
    </w:p>
    <w:p w14:paraId="49E09292">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2E4C1C"/>
    <w:rsid w:val="22F557CB"/>
    <w:rsid w:val="677474C4"/>
    <w:rsid w:val="712E4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1"/>
      <w:sz w:val="21"/>
      <w:szCs w:val="24"/>
      <w:lang w:val="en-US" w:eastAsia="ar-SA"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lock Text"/>
    <w:basedOn w:val="1"/>
    <w:qFormat/>
    <w:uiPriority w:val="0"/>
    <w:pPr>
      <w:spacing w:line="360" w:lineRule="auto"/>
      <w:ind w:left="840" w:right="840"/>
      <w:jc w:val="center"/>
    </w:pPr>
    <w:rPr>
      <w:sz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2025-02-18T02:02:00Z</dcterms:created>
  <dc:creator>汪可(纪律处分小组组员)</dc:creator>
  <cp:lastModifiedBy>汪可(纪律处分小组组员)</cp:lastModifiedBy>
  <dcterms:modified xsi:type="dcterms:W3CDTF">2025-02-18T05:56:22Z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A77BB6E6949C407E823BCCEFC85F6E30_11</vt:lpwstr>
  </property>
</Properties>
</file>