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26" w:rsidRDefault="0069371D">
      <w:pPr>
        <w:suppressAutoHyphens w:val="0"/>
        <w:spacing w:line="600" w:lineRule="exact"/>
        <w:rPr>
          <w:rFonts w:eastAsia="仿宋_GB2312" w:cstheme="minorBidi"/>
          <w:kern w:val="2"/>
          <w:sz w:val="30"/>
          <w:szCs w:val="30"/>
          <w:lang w:eastAsia="zh-CN"/>
        </w:rPr>
      </w:pPr>
      <w:r>
        <w:rPr>
          <w:rFonts w:eastAsia="仿宋_GB2312" w:cstheme="minorBidi" w:hint="eastAsia"/>
          <w:kern w:val="2"/>
          <w:sz w:val="30"/>
          <w:szCs w:val="30"/>
          <w:lang w:eastAsia="zh-CN"/>
        </w:rPr>
        <w:t>附件：</w:t>
      </w:r>
    </w:p>
    <w:p w:rsidR="00C40926" w:rsidRDefault="00C40926">
      <w:pPr>
        <w:suppressAutoHyphens w:val="0"/>
        <w:spacing w:line="600" w:lineRule="exact"/>
        <w:rPr>
          <w:rFonts w:eastAsia="仿宋_GB2312" w:cstheme="minorBidi"/>
          <w:kern w:val="2"/>
          <w:sz w:val="30"/>
          <w:szCs w:val="30"/>
          <w:lang w:eastAsia="zh-CN"/>
        </w:rPr>
      </w:pPr>
    </w:p>
    <w:p w:rsidR="00C40926" w:rsidRDefault="0069371D">
      <w:pPr>
        <w:suppressAutoHyphens w:val="0"/>
        <w:spacing w:line="600" w:lineRule="exact"/>
        <w:ind w:rightChars="-27" w:right="-57"/>
        <w:jc w:val="center"/>
        <w:rPr>
          <w:rFonts w:ascii="黑体" w:eastAsia="黑体" w:hAnsi="黑体" w:cs="宋体"/>
          <w:bCs/>
          <w:kern w:val="2"/>
          <w:sz w:val="44"/>
          <w:szCs w:val="44"/>
          <w:lang w:eastAsia="zh-CN"/>
        </w:rPr>
      </w:pPr>
      <w:bookmarkStart w:id="0" w:name="_GoBack"/>
      <w:r>
        <w:rPr>
          <w:rFonts w:ascii="黑体" w:eastAsia="黑体" w:hAnsi="黑体" w:hint="eastAsia"/>
          <w:bCs/>
          <w:kern w:val="2"/>
          <w:sz w:val="44"/>
          <w:szCs w:val="44"/>
          <w:lang w:eastAsia="zh-CN"/>
        </w:rPr>
        <w:t>关于对</w:t>
      </w:r>
      <w:r>
        <w:rPr>
          <w:rFonts w:ascii="黑体" w:eastAsia="黑体" w:hAnsi="黑体" w:cs="宋体" w:hint="eastAsia"/>
          <w:bCs/>
          <w:kern w:val="2"/>
          <w:sz w:val="44"/>
          <w:szCs w:val="44"/>
          <w:lang w:eastAsia="zh-CN"/>
        </w:rPr>
        <w:t>上海实业发展股份有限公司有关</w:t>
      </w:r>
    </w:p>
    <w:p w:rsidR="00C40926" w:rsidRDefault="0069371D">
      <w:pPr>
        <w:suppressAutoHyphens w:val="0"/>
        <w:spacing w:line="600" w:lineRule="exact"/>
        <w:ind w:rightChars="-27" w:right="-57"/>
        <w:jc w:val="center"/>
        <w:rPr>
          <w:rFonts w:ascii="黑体" w:eastAsia="黑体" w:hAnsi="黑体"/>
          <w:bCs/>
          <w:kern w:val="2"/>
          <w:sz w:val="44"/>
          <w:szCs w:val="44"/>
          <w:lang w:eastAsia="zh-CN"/>
        </w:rPr>
      </w:pPr>
      <w:r>
        <w:rPr>
          <w:rFonts w:ascii="黑体" w:eastAsia="黑体" w:hAnsi="黑体" w:cs="宋体" w:hint="eastAsia"/>
          <w:bCs/>
          <w:kern w:val="2"/>
          <w:sz w:val="44"/>
          <w:szCs w:val="44"/>
          <w:lang w:eastAsia="zh-CN"/>
        </w:rPr>
        <w:t>责任人</w:t>
      </w:r>
      <w:r>
        <w:rPr>
          <w:rFonts w:ascii="黑体" w:eastAsia="黑体" w:hAnsi="黑体" w:hint="eastAsia"/>
          <w:bCs/>
          <w:kern w:val="2"/>
          <w:sz w:val="44"/>
          <w:szCs w:val="44"/>
          <w:lang w:eastAsia="zh-CN"/>
        </w:rPr>
        <w:t>予以纪律处分的</w:t>
      </w:r>
      <w:r>
        <w:rPr>
          <w:rFonts w:ascii="黑体" w:eastAsia="黑体" w:hAnsi="黑体" w:hint="eastAsia"/>
          <w:bCs/>
          <w:kern w:val="2"/>
          <w:sz w:val="44"/>
          <w:szCs w:val="44"/>
          <w:lang w:eastAsia="zh-CN"/>
        </w:rPr>
        <w:t>意向书</w:t>
      </w:r>
    </w:p>
    <w:bookmarkEnd w:id="0"/>
    <w:p w:rsidR="00C40926" w:rsidRDefault="00C40926">
      <w:pPr>
        <w:suppressAutoHyphens w:val="0"/>
        <w:spacing w:line="600" w:lineRule="exact"/>
        <w:ind w:rightChars="1" w:right="2" w:firstLineChars="200" w:firstLine="560"/>
        <w:rPr>
          <w:rFonts w:ascii="宋体" w:eastAsia="仿宋_GB2312" w:hAnsi="宋体" w:cstheme="minorBidi"/>
          <w:kern w:val="2"/>
          <w:sz w:val="28"/>
          <w:szCs w:val="22"/>
          <w:lang w:eastAsia="zh-CN"/>
        </w:rPr>
      </w:pPr>
    </w:p>
    <w:p w:rsidR="00C40926" w:rsidRDefault="0069371D">
      <w:pPr>
        <w:suppressAutoHyphens w:val="0"/>
        <w:spacing w:line="600" w:lineRule="exact"/>
        <w:ind w:rightChars="1" w:right="2"/>
        <w:rPr>
          <w:rFonts w:ascii="仿宋_GB2312" w:eastAsia="仿宋_GB2312" w:cstheme="minorBidi"/>
          <w:kern w:val="2"/>
          <w:sz w:val="30"/>
          <w:szCs w:val="30"/>
          <w:lang w:eastAsia="zh-CN"/>
        </w:rPr>
      </w:pP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上海实业发展股份有限公司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控股子公司上海上</w:t>
      </w:r>
      <w:proofErr w:type="gramStart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实龙创</w:t>
      </w:r>
      <w:proofErr w:type="gramEnd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智能科技股份有限公司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时任董事长曹文龙</w:t>
      </w:r>
      <w:r>
        <w:rPr>
          <w:rFonts w:ascii="仿宋_GB2312" w:eastAsia="仿宋_GB2312" w:hAnsi="宋体" w:cstheme="minorBidi" w:hint="eastAsia"/>
          <w:kern w:val="2"/>
          <w:sz w:val="30"/>
          <w:szCs w:val="22"/>
          <w:lang w:eastAsia="zh-CN"/>
        </w:rPr>
        <w:t>：</w:t>
      </w:r>
    </w:p>
    <w:p w:rsidR="00C40926" w:rsidRDefault="0069371D">
      <w:pPr>
        <w:suppressAutoHyphens w:val="0"/>
        <w:spacing w:line="600" w:lineRule="exact"/>
        <w:ind w:rightChars="1" w:right="2" w:firstLineChars="200" w:firstLine="600"/>
        <w:rPr>
          <w:rFonts w:ascii="仿宋_GB2312" w:eastAsia="仿宋_GB2312" w:cstheme="minorBidi"/>
          <w:kern w:val="2"/>
          <w:sz w:val="30"/>
          <w:szCs w:val="30"/>
          <w:lang w:eastAsia="zh-CN"/>
        </w:rPr>
      </w:pP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根据中国证券监督管理委员会上海监管局出具的《行政处罚和市场禁入事先告知书》（沪证</w:t>
      </w:r>
      <w:proofErr w:type="gramStart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监处罚字</w:t>
      </w:r>
      <w:proofErr w:type="gramEnd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[2024]4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号，以下简称《事先告知书》）查明的事实及相关公告，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2016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年至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2021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年度，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上海实业发展股份有限公司（以下简称公司或上实发展）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控股子公司上海上</w:t>
      </w:r>
      <w:proofErr w:type="gramStart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实龙创</w:t>
      </w:r>
      <w:proofErr w:type="gramEnd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智能科技股份有限公司（以下简称上</w:t>
      </w:r>
      <w:proofErr w:type="gramStart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实龙创</w:t>
      </w:r>
      <w:proofErr w:type="gramEnd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）时任董事长曹文龙，组织、授意、默许相关人员通过虚构合同、虚增业务实施进度、实施空转自循环贸易以及参与军民融合贸易等方式虚增上</w:t>
      </w:r>
      <w:proofErr w:type="gramStart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实龙创</w:t>
      </w:r>
      <w:proofErr w:type="gramEnd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2016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年至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2021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年度收入、利润金额，导致上实发展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2016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年至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2021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年度财务报表存在虚假记载，合计虚增收入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47.22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亿元、虚增利润总额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6.14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亿元。</w:t>
      </w:r>
    </w:p>
    <w:p w:rsidR="00C40926" w:rsidRDefault="0069371D">
      <w:pPr>
        <w:suppressAutoHyphens w:val="0"/>
        <w:spacing w:line="600" w:lineRule="exact"/>
        <w:ind w:rightChars="1" w:right="2" w:firstLineChars="200" w:firstLine="600"/>
        <w:rPr>
          <w:rFonts w:ascii="仿宋_GB2312" w:eastAsia="仿宋_GB2312" w:cstheme="minorBidi"/>
          <w:kern w:val="2"/>
          <w:sz w:val="30"/>
          <w:szCs w:val="30"/>
          <w:lang w:eastAsia="zh-CN"/>
        </w:rPr>
      </w:pP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其中，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2016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年度虚增收入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2.07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亿元，占上实发展当期披露收入金额的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3.19%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，虚增利润总额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0.56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亿元，占上实发展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当期披露利润总额的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6.23%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；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2017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年度虚增收入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6.77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亿元，占上实发展当期披露收入金额的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9.36%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，虚增利润总额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1.43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亿元，占上实发展当期披露利润总额的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11.91%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；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2018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年度虚增收入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12.78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亿元，占上实发展当期披露收入金额的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14.75%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，虚增利润总额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1.02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亿元，占上实发展当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lastRenderedPageBreak/>
        <w:t>期披露利润总额的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8.01%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；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2019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年度虚增收入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8.64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亿元，占上实发展当期披露收入金额的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9.75%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，虚增利润总额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0.71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亿元，占上实发展当期披露利润总额的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5.28%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；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2020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年度虚增收入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14.91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亿元，占上实发展当期披露收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入金额的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18.52%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，虚增利润总额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2.42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亿元，占上实发展当期披露利润总额的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18.31%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；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2021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年度虚增收入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2.05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亿元，占上实发展当期披露收入金额的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2.0%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。</w:t>
      </w:r>
    </w:p>
    <w:p w:rsidR="00C40926" w:rsidRDefault="0069371D">
      <w:pPr>
        <w:suppressAutoHyphens w:val="0"/>
        <w:spacing w:line="600" w:lineRule="exact"/>
        <w:ind w:rightChars="1" w:right="2" w:firstLineChars="200" w:firstLine="600"/>
        <w:rPr>
          <w:rFonts w:ascii="仿宋_GB2312" w:eastAsia="仿宋_GB2312" w:cstheme="minorBidi"/>
          <w:kern w:val="2"/>
          <w:sz w:val="30"/>
          <w:szCs w:val="30"/>
          <w:lang w:eastAsia="zh-CN"/>
        </w:rPr>
      </w:pP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同时，上</w:t>
      </w:r>
      <w:proofErr w:type="gramStart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实龙创</w:t>
      </w:r>
      <w:proofErr w:type="gramEnd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财务造假行为导致上实发展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2017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年年度报告少计商誉减值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2.2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亿元，占上实发展当期披露利润总额的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18.31%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；导致上实发展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2021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年年度报告少计提坏账准备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8.09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亿元，占上实发展当期披露利润总额的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52.36%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。</w:t>
      </w:r>
    </w:p>
    <w:p w:rsidR="00C40926" w:rsidRDefault="0069371D">
      <w:pPr>
        <w:suppressAutoHyphens w:val="0"/>
        <w:spacing w:line="600" w:lineRule="exact"/>
        <w:ind w:rightChars="1" w:right="2" w:firstLineChars="200" w:firstLine="600"/>
        <w:rPr>
          <w:rFonts w:ascii="仿宋_GB2312" w:eastAsia="仿宋_GB2312" w:cstheme="minorBidi"/>
          <w:kern w:val="2"/>
          <w:sz w:val="30"/>
          <w:szCs w:val="30"/>
          <w:lang w:eastAsia="zh-CN"/>
        </w:rPr>
      </w:pP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综上，公司连续多年定期报告存在虚假记载，严重影响投资者知情权。违反了《中华人民共和国证券法（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2005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年修订）》（以下简称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05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年《证券法》）第六十三条，《中华人民共和国证券法（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2019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年修订）》（以下简称《证券法》）第七十八条第一款和第二款、第八十条第一款和第二款第十二项，《公开发行证券的公司信息披露编报规则第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 xml:space="preserve"> 15 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号——财务报告的一般规定》，《上海证券交易所股票上市规则（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2020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年修订）》（以下简称《股票上市规则（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2020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年修订）》）第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 xml:space="preserve"> 2.1 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条、第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 xml:space="preserve"> 2.5 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条和《上海证券交易所股票上市规则（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 xml:space="preserve">2022 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年修订）》（以下简称《股票上市规则（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2022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年修订）》）第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2.1.1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条、第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2.1.4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条等有关规定。</w:t>
      </w:r>
    </w:p>
    <w:p w:rsidR="00C40926" w:rsidRDefault="0069371D" w:rsidP="003A1A05">
      <w:pPr>
        <w:suppressAutoHyphens w:val="0"/>
        <w:spacing w:line="600" w:lineRule="exact"/>
        <w:ind w:rightChars="1" w:right="2" w:firstLineChars="200" w:firstLine="600"/>
        <w:rPr>
          <w:rFonts w:ascii="仿宋_GB2312" w:eastAsia="仿宋_GB2312" w:cstheme="minorBidi"/>
          <w:kern w:val="2"/>
          <w:sz w:val="30"/>
          <w:szCs w:val="30"/>
          <w:lang w:eastAsia="zh-CN"/>
        </w:rPr>
      </w:pP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责任人方面，时任上</w:t>
      </w:r>
      <w:proofErr w:type="gramStart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实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龙创</w:t>
      </w:r>
      <w:proofErr w:type="gramEnd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董事长曹文龙负责上</w:t>
      </w:r>
      <w:proofErr w:type="gramStart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实龙创生产</w:t>
      </w:r>
      <w:proofErr w:type="gramEnd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经营管理，其自上</w:t>
      </w:r>
      <w:proofErr w:type="gramStart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实龙创被</w:t>
      </w:r>
      <w:proofErr w:type="gramEnd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上实发展收购为控股子公司当年即采取多种方式、手段，决策、组织实施财务造假，授意、指挥、默许上</w:t>
      </w:r>
      <w:proofErr w:type="gramStart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实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lastRenderedPageBreak/>
        <w:t>龙创相关</w:t>
      </w:r>
      <w:proofErr w:type="gramEnd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人员通过虚构合同、虚增业务实施进度、实施空转自循环贸易以及参与军民融合贸易等方式虚增上</w:t>
      </w:r>
      <w:proofErr w:type="gramStart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实龙创</w:t>
      </w:r>
      <w:proofErr w:type="gramEnd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2016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年至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2021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年度收入、利润金额，财务造假跨期长、金额大，导致上实发展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2016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年至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2021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年度财务报表合计虚增收入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47.22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亿元、虚增利润总额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6.14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亿元。其行为与上实发展信息披露违法有直接因果关系，导致了公司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2016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年至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2021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年年度报告存在虚假记载，情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节较为严重，是公司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2016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年至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2021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年年度报告存在虚假记载的其他直接责任人员。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其行为违反了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《证券法》第八十二条第三款、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《股票上市规则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（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2020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年修订）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》第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2.2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条、第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3.1.4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条、第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3.1.5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条、第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3.2.2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条，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《股票上市规则（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2022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年修订）》第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2.1.2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条、第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4.3.1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条、第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4.3.5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条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等有关规定及其在《董事（监事、高级管理人员）声明及承诺书》中</w:t>
      </w:r>
      <w:proofErr w:type="gramStart"/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作出</w:t>
      </w:r>
      <w:proofErr w:type="gramEnd"/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的承诺。</w:t>
      </w:r>
    </w:p>
    <w:p w:rsidR="00C40926" w:rsidRDefault="0069371D">
      <w:pPr>
        <w:suppressAutoHyphens w:val="0"/>
        <w:spacing w:line="600" w:lineRule="exact"/>
        <w:ind w:rightChars="1" w:right="2" w:firstLineChars="200" w:firstLine="600"/>
        <w:rPr>
          <w:rFonts w:ascii="仿宋_GB2312" w:eastAsia="仿宋_GB2312" w:hAnsi="宋体" w:cstheme="minorBidi"/>
          <w:kern w:val="2"/>
          <w:sz w:val="30"/>
          <w:szCs w:val="30"/>
          <w:lang w:eastAsia="zh-CN"/>
        </w:rPr>
      </w:pPr>
      <w:r>
        <w:rPr>
          <w:rFonts w:ascii="仿宋_GB2312" w:eastAsia="仿宋_GB2312" w:hAnsi="宋体" w:cstheme="minorBidi" w:hint="eastAsia"/>
          <w:kern w:val="0"/>
          <w:sz w:val="30"/>
          <w:szCs w:val="30"/>
          <w:lang w:eastAsia="zh-CN"/>
        </w:rPr>
        <w:t>鉴于公司相关违规事实和情节，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我部拟一并</w:t>
      </w:r>
      <w:r>
        <w:rPr>
          <w:rFonts w:ascii="仿宋_GB2312" w:eastAsia="仿宋_GB2312" w:hAnsi="宋体" w:cstheme="minorBidi" w:hint="eastAsia"/>
          <w:kern w:val="0"/>
          <w:sz w:val="30"/>
          <w:szCs w:val="30"/>
          <w:lang w:eastAsia="zh-CN"/>
        </w:rPr>
        <w:t>提请本所纪律处分委员会审核，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根据</w:t>
      </w:r>
      <w:r>
        <w:rPr>
          <w:rFonts w:ascii="仿宋_GB2312" w:eastAsia="仿宋_GB2312" w:hAnsi="宋体" w:cstheme="minorBidi" w:hint="eastAsia"/>
          <w:kern w:val="2"/>
          <w:sz w:val="30"/>
          <w:szCs w:val="22"/>
          <w:lang w:eastAsia="zh-CN"/>
        </w:rPr>
        <w:t>《股票上市规则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（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2020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年修订）</w:t>
      </w:r>
      <w:r>
        <w:rPr>
          <w:rFonts w:ascii="仿宋_GB2312" w:eastAsia="仿宋_GB2312" w:hAnsi="宋体" w:cstheme="minorBidi" w:hint="eastAsia"/>
          <w:kern w:val="2"/>
          <w:sz w:val="30"/>
          <w:szCs w:val="22"/>
          <w:lang w:eastAsia="zh-CN"/>
        </w:rPr>
        <w:t>》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第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16.2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条、第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16.3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条、第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16.4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条和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《股票上市规则（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2022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年修订）》第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13.2.3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条，《上海证券交易所纪律处分和监管措施实施办法》及《上海证券交易所自律监管指引第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10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号——纪律处分实施标准》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的规定，对</w:t>
      </w:r>
      <w:r>
        <w:rPr>
          <w:rFonts w:ascii="仿宋_GB2312" w:eastAsia="仿宋_GB2312" w:hAnsi="宋体" w:cstheme="minorBidi" w:hint="eastAsia"/>
          <w:bCs/>
          <w:kern w:val="2"/>
          <w:sz w:val="30"/>
          <w:szCs w:val="30"/>
          <w:lang w:eastAsia="zh-CN"/>
        </w:rPr>
        <w:t>上海实业发展股份有限公司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控股子公司上海上</w:t>
      </w:r>
      <w:proofErr w:type="gramStart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实龙创</w:t>
      </w:r>
      <w:proofErr w:type="gramEnd"/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智能科技股份有限公司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时任董事长曹文龙予以公开谴责，并公开认定曹文龙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10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年内不适合担任上市公司董事、监事、高级管理人员。</w:t>
      </w:r>
    </w:p>
    <w:p w:rsidR="00C40926" w:rsidRDefault="0069371D">
      <w:pPr>
        <w:suppressAutoHyphens w:val="0"/>
        <w:spacing w:line="600" w:lineRule="exact"/>
        <w:ind w:rightChars="1" w:right="2" w:firstLineChars="192" w:firstLine="576"/>
        <w:rPr>
          <w:rFonts w:ascii="仿宋_GB2312" w:eastAsia="仿宋_GB2312" w:hAnsi="宋体" w:cstheme="minorBidi"/>
          <w:kern w:val="2"/>
          <w:sz w:val="30"/>
          <w:szCs w:val="30"/>
          <w:lang w:eastAsia="zh-CN"/>
        </w:rPr>
      </w:pP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对于上述纪律处分，本所将通报中国证监会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和</w:t>
      </w:r>
      <w:r>
        <w:rPr>
          <w:rFonts w:ascii="仿宋_GB2312" w:eastAsia="仿宋_GB2312" w:cstheme="minorBidi" w:hint="eastAsia"/>
          <w:kern w:val="2"/>
          <w:sz w:val="30"/>
          <w:szCs w:val="30"/>
        </w:rPr>
        <w:t>上海市</w:t>
      </w:r>
      <w:r>
        <w:rPr>
          <w:rFonts w:ascii="仿宋_GB2312" w:eastAsia="仿宋_GB2312" w:hint="eastAsia"/>
          <w:sz w:val="30"/>
          <w:szCs w:val="30"/>
        </w:rPr>
        <w:t>地方金融监督管理局</w:t>
      </w:r>
      <w:r>
        <w:rPr>
          <w:rFonts w:ascii="仿宋_GB2312" w:eastAsia="仿宋_GB2312" w:cstheme="minorBidi" w:hint="eastAsia"/>
          <w:kern w:val="2"/>
          <w:sz w:val="30"/>
          <w:szCs w:val="30"/>
        </w:rPr>
        <w:t>，</w:t>
      </w:r>
      <w:r>
        <w:rPr>
          <w:rFonts w:ascii="仿宋_GB2312" w:eastAsia="仿宋_GB2312" w:cstheme="minorBidi" w:hint="eastAsia"/>
          <w:kern w:val="2"/>
          <w:sz w:val="30"/>
          <w:szCs w:val="30"/>
          <w:lang w:eastAsia="zh-CN"/>
        </w:rPr>
        <w:t>并</w:t>
      </w:r>
      <w:r>
        <w:rPr>
          <w:rFonts w:ascii="仿宋_GB2312" w:eastAsia="仿宋_GB2312" w:hAnsi="宋体" w:cstheme="minorBidi" w:hint="eastAsia"/>
          <w:kern w:val="2"/>
          <w:sz w:val="30"/>
          <w:szCs w:val="30"/>
          <w:lang w:eastAsia="zh-CN"/>
        </w:rPr>
        <w:t>记入上市公司诚信档案。</w:t>
      </w:r>
    </w:p>
    <w:p w:rsidR="00C40926" w:rsidRDefault="00C40926">
      <w:pPr>
        <w:suppressAutoHyphens w:val="0"/>
        <w:spacing w:line="600" w:lineRule="exact"/>
        <w:jc w:val="left"/>
        <w:rPr>
          <w:rFonts w:eastAsia="仿宋_GB2312" w:cstheme="minorBidi"/>
          <w:kern w:val="2"/>
          <w:sz w:val="30"/>
          <w:szCs w:val="22"/>
          <w:lang w:eastAsia="zh-CN"/>
        </w:rPr>
      </w:pPr>
    </w:p>
    <w:p w:rsidR="00C40926" w:rsidRDefault="00C40926">
      <w:pPr>
        <w:suppressAutoHyphens w:val="0"/>
        <w:spacing w:line="600" w:lineRule="exact"/>
        <w:jc w:val="left"/>
        <w:rPr>
          <w:rFonts w:eastAsia="仿宋_GB2312" w:cstheme="minorBidi"/>
          <w:kern w:val="2"/>
          <w:sz w:val="30"/>
          <w:szCs w:val="22"/>
          <w:lang w:eastAsia="zh-CN"/>
        </w:rPr>
      </w:pPr>
    </w:p>
    <w:p w:rsidR="00C40926" w:rsidRDefault="0069371D">
      <w:pPr>
        <w:spacing w:line="600" w:lineRule="exact"/>
        <w:ind w:rightChars="1" w:right="2" w:firstLineChars="200" w:firstLine="600"/>
        <w:jc w:val="right"/>
        <w:rPr>
          <w:rFonts w:ascii="仿宋_GB2312" w:eastAsia="仿宋_GB2312" w:hAnsi="宋体"/>
          <w:sz w:val="30"/>
          <w:szCs w:val="30"/>
        </w:rPr>
      </w:pPr>
      <w:r>
        <w:rPr>
          <w:rFonts w:eastAsia="仿宋_GB2312" w:cstheme="minorBidi"/>
          <w:kern w:val="2"/>
          <w:sz w:val="30"/>
          <w:szCs w:val="22"/>
          <w:lang w:eastAsia="zh-CN"/>
        </w:rPr>
        <w:t xml:space="preserve">                     </w:t>
      </w:r>
      <w:r>
        <w:rPr>
          <w:rFonts w:ascii="仿宋_GB2312" w:eastAsia="仿宋_GB2312" w:hAnsi="宋体" w:hint="eastAsia"/>
          <w:sz w:val="30"/>
          <w:szCs w:val="30"/>
        </w:rPr>
        <w:t>上海证券交易所上市公司</w:t>
      </w:r>
      <w:r>
        <w:rPr>
          <w:rFonts w:ascii="仿宋_GB2312" w:eastAsia="仿宋_GB2312" w:hAnsi="宋体" w:hint="eastAsia"/>
          <w:sz w:val="30"/>
          <w:szCs w:val="30"/>
          <w:lang w:eastAsia="zh-CN"/>
        </w:rPr>
        <w:t>管理二</w:t>
      </w:r>
      <w:r>
        <w:rPr>
          <w:rFonts w:ascii="仿宋_GB2312" w:eastAsia="仿宋_GB2312" w:hAnsi="宋体" w:hint="eastAsia"/>
          <w:sz w:val="30"/>
          <w:szCs w:val="30"/>
        </w:rPr>
        <w:t>部</w:t>
      </w:r>
    </w:p>
    <w:p w:rsidR="00C40926" w:rsidRDefault="0069371D">
      <w:pPr>
        <w:ind w:left="4620" w:firstLine="420"/>
        <w:rPr>
          <w:rFonts w:ascii="仿宋_GB2312" w:eastAsia="仿宋_GB2312"/>
          <w:sz w:val="30"/>
          <w:szCs w:val="30"/>
          <w:lang w:eastAsia="zh-CN"/>
        </w:rPr>
      </w:pPr>
      <w:bookmarkStart w:id="1" w:name="大写年份"/>
      <w:r>
        <w:rPr>
          <w:rFonts w:ascii="仿宋_GB2312" w:eastAsia="仿宋_GB2312" w:hint="eastAsia"/>
          <w:sz w:val="30"/>
          <w:szCs w:val="30"/>
          <w:lang w:eastAsia="zh-CN"/>
        </w:rPr>
        <w:t>二</w:t>
      </w:r>
      <w:r>
        <w:rPr>
          <w:rFonts w:ascii="宋体" w:hAnsi="宋体" w:cs="宋体" w:hint="eastAsia"/>
          <w:sz w:val="30"/>
          <w:szCs w:val="30"/>
          <w:lang w:eastAsia="zh-CN"/>
        </w:rPr>
        <w:t>〇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二四年四月一日</w:t>
      </w:r>
      <w:bookmarkEnd w:id="1"/>
    </w:p>
    <w:p w:rsidR="00C40926" w:rsidRDefault="00C40926"/>
    <w:sectPr w:rsidR="00C40926" w:rsidSect="00C40926">
      <w:headerReference w:type="default" r:id="rId7"/>
      <w:footerReference w:type="default" r:id="rId8"/>
      <w:pgSz w:w="11906" w:h="16838"/>
      <w:pgMar w:top="1440" w:right="1548" w:bottom="1440" w:left="1548" w:header="720" w:footer="992" w:gutter="0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71D" w:rsidRDefault="0069371D" w:rsidP="00C40926">
      <w:r>
        <w:separator/>
      </w:r>
    </w:p>
  </w:endnote>
  <w:endnote w:type="continuationSeparator" w:id="0">
    <w:p w:rsidR="0069371D" w:rsidRDefault="0069371D" w:rsidP="00C40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26" w:rsidRDefault="00C40926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3.35pt;margin-top:.05pt;width:4.5pt;height:9.9pt;z-index:251659264;mso-wrap-distance-left:0;mso-wrap-distance-right:0;mso-position-horizontal-relative:page" o:gfxdata="UEsDBAoAAAAAAIdO4kAAAAAAAAAAAAAAAAAEAAAAZHJzL1BLAwQUAAAACACHTuJABPgETdQAAAAJ&#10;AQAADwAAAGRycy9kb3ducmV2LnhtbE2PzU7DMBCE70h9B2srcaN2U9E2IU4liuCKSJF6deNtEiVe&#10;R7H7w9uzOcFtRzOa/Sbf3V0vrjiG1pOG5UKBQKq8banW8H14f9qCCNGQNb0n1PCDAXbF7CE3mfU3&#10;+sJrGWvBJRQyo6GJccikDFWDzoSFH5DYO/vRmchyrKUdzY3LXS8TpdbSmZb4Q2MG3DdYdeXFaVh9&#10;Jptj+Cjf9sMR024bXrszNVo/zpfqBUTEe/wLw4TP6FAw08lfyAbRs1bJesPZyRGTr1bPrE98pSnI&#10;Ipf/FxS/UEsDBBQAAAAIAIdO4kCeni9M1gEAALYDAAAOAAAAZHJzL2Uyb0RvYy54bWytU82O0zAQ&#10;viPxDpbvNE1RWVQ1XQmqIiQESLs8gOM4iSX/acZt0xeAN+DEhTvP1edg7KRdWC57IIdkPDP+Zr5v&#10;JuvbwRp2UIDau4qXszlnyknfaNdV/Mv97sVrzjAK1wjjnar4SSG/3Tx/tj6GlVr43ptGASMQh6tj&#10;qHgfY1gVBcpeWYEzH5SjYOvBikhH6IoGxJHQrSkW8/mr4uihCeClQiTvdgzyCRGeAujbVku19XJv&#10;lYsjKigjIlHCXgfkm9xt2yoZP7UtqshMxYlpzG8qQnad3sVmLVYdiNBrObUgntLCI05WaEdFr1Bb&#10;EQXbg/4HymoJHn0bZ9LbYiSSFSEW5fyRNne9CCpzIakxXEXH/wcrPx4+A9MNbQJnTlga+Pn7t/OP&#10;X+efX1mZ5DkGXFHWXaC8OLzxQ0qd/EjOxHpowaYv8WEUJ3FPV3HVEJkk5/KmXFJAUqRcLG9eZu2L&#10;h7sBML5T3rJkVBxodFlRcfiAkepR6iUllUJvdLPTxuQDdPVbA+wgaMy7/Ix3TejF6L2UwzE14/2F&#10;YVxCcj5hjuWSp0j0R5rJikM9TNxr35xIEvPe0TjSal0MuBj1xdgH0F1PpLJwGZLGmVuYVi/ty5/n&#10;XPjhd9v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T4BE3UAAAACQEAAA8AAAAAAAAAAQAgAAAA&#10;IgAAAGRycy9kb3ducmV2LnhtbFBLAQIUABQAAAAIAIdO4kCeni9M1gEAALYDAAAOAAAAAAAAAAEA&#10;IAAAACMBAABkcnMvZTJvRG9jLnhtbFBLBQYAAAAABgAGAFkBAABrBQAAAAA=&#10;" stroked="f">
          <v:fill opacity="0"/>
          <v:textbox inset="0,0,0,0">
            <w:txbxContent>
              <w:p w:rsidR="00C40926" w:rsidRDefault="00C40926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 w:rsidR="0069371D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3A1A05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71D" w:rsidRDefault="0069371D" w:rsidP="00C40926">
      <w:r>
        <w:separator/>
      </w:r>
    </w:p>
  </w:footnote>
  <w:footnote w:type="continuationSeparator" w:id="0">
    <w:p w:rsidR="0069371D" w:rsidRDefault="0069371D" w:rsidP="00C40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26" w:rsidRDefault="00C40926">
    <w:pPr>
      <w:pStyle w:val="a6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548"/>
    <w:rsid w:val="0002686E"/>
    <w:rsid w:val="000324DB"/>
    <w:rsid w:val="00083548"/>
    <w:rsid w:val="000972CD"/>
    <w:rsid w:val="000D32F7"/>
    <w:rsid w:val="000D7466"/>
    <w:rsid w:val="0016116B"/>
    <w:rsid w:val="00220B03"/>
    <w:rsid w:val="00312F15"/>
    <w:rsid w:val="00321955"/>
    <w:rsid w:val="003A1A05"/>
    <w:rsid w:val="003C26E9"/>
    <w:rsid w:val="00404D19"/>
    <w:rsid w:val="004D6533"/>
    <w:rsid w:val="004F37F2"/>
    <w:rsid w:val="005104D4"/>
    <w:rsid w:val="0059188C"/>
    <w:rsid w:val="005B5A4E"/>
    <w:rsid w:val="005B7728"/>
    <w:rsid w:val="006359A1"/>
    <w:rsid w:val="0069371D"/>
    <w:rsid w:val="00810739"/>
    <w:rsid w:val="00853659"/>
    <w:rsid w:val="00AB4900"/>
    <w:rsid w:val="00B37CAB"/>
    <w:rsid w:val="00C40926"/>
    <w:rsid w:val="00D867DC"/>
    <w:rsid w:val="00EA4160"/>
    <w:rsid w:val="00F673C5"/>
    <w:rsid w:val="0D246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26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C40926"/>
    <w:pPr>
      <w:spacing w:line="360" w:lineRule="auto"/>
      <w:ind w:left="840" w:right="840"/>
      <w:jc w:val="center"/>
    </w:pPr>
    <w:rPr>
      <w:sz w:val="36"/>
    </w:rPr>
  </w:style>
  <w:style w:type="paragraph" w:styleId="a4">
    <w:name w:val="Balloon Text"/>
    <w:basedOn w:val="a"/>
    <w:link w:val="Char"/>
    <w:uiPriority w:val="99"/>
    <w:semiHidden/>
    <w:unhideWhenUsed/>
    <w:qFormat/>
    <w:rsid w:val="00C409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40926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6">
    <w:name w:val="header"/>
    <w:basedOn w:val="a"/>
    <w:link w:val="Char1"/>
    <w:uiPriority w:val="99"/>
    <w:semiHidden/>
    <w:unhideWhenUsed/>
    <w:qFormat/>
    <w:rsid w:val="00C40926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styleId="a7">
    <w:name w:val="page number"/>
    <w:basedOn w:val="a0"/>
    <w:qFormat/>
    <w:rsid w:val="00C40926"/>
  </w:style>
  <w:style w:type="character" w:customStyle="1" w:styleId="Char1">
    <w:name w:val="页眉 Char"/>
    <w:basedOn w:val="a0"/>
    <w:link w:val="a6"/>
    <w:uiPriority w:val="99"/>
    <w:semiHidden/>
    <w:qFormat/>
    <w:rsid w:val="00C40926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C4092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C40926"/>
    <w:rPr>
      <w:rFonts w:ascii="Times New Roman" w:eastAsia="宋体" w:hAnsi="Times New Roman" w:cs="Times New Roman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293</Words>
  <Characters>1676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覃锦辉(拟稿)</dc:creator>
  <cp:lastModifiedBy>刘紫钰(纪律处分小组组员)</cp:lastModifiedBy>
  <cp:revision>15</cp:revision>
  <dcterms:created xsi:type="dcterms:W3CDTF">2017-05-24T10:35:00Z</dcterms:created>
  <dcterms:modified xsi:type="dcterms:W3CDTF">2024-04-01T07:03:00Z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835CAD46D58643D39E732CC53A3239F3</vt:lpwstr>
  </property>
</Properties>
</file>