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A3F3A">
      <w:pPr>
        <w:widowControl/>
        <w:rPr>
          <w:rFonts w:hint="default" w:ascii="Times New Roman" w:hAnsi="Times New Roman" w:eastAsia="黑体" w:cs="Times New Roman"/>
          <w:bCs/>
          <w:kern w:val="0"/>
          <w:sz w:val="72"/>
          <w:szCs w:val="72"/>
        </w:rPr>
      </w:pPr>
      <w:bookmarkStart w:id="585" w:name="_GoBack"/>
      <w:bookmarkEnd w:id="585"/>
    </w:p>
    <w:p w14:paraId="79B0F2AC">
      <w:pPr>
        <w:widowControl/>
        <w:rPr>
          <w:rFonts w:hint="default" w:ascii="Times New Roman" w:hAnsi="Times New Roman" w:eastAsia="黑体" w:cs="Times New Roman"/>
          <w:bCs/>
          <w:kern w:val="0"/>
          <w:sz w:val="72"/>
          <w:szCs w:val="72"/>
        </w:rPr>
      </w:pPr>
    </w:p>
    <w:p w14:paraId="0EEE3EC9">
      <w:pPr>
        <w:widowControl/>
        <w:jc w:val="center"/>
        <w:rPr>
          <w:rFonts w:hint="default" w:ascii="Times New Roman" w:hAnsi="Times New Roman" w:eastAsia="黑体" w:cs="Times New Roman"/>
          <w:bCs/>
          <w:kern w:val="0"/>
          <w:sz w:val="72"/>
          <w:szCs w:val="72"/>
        </w:rPr>
      </w:pPr>
      <w:r>
        <w:rPr>
          <w:rFonts w:hint="default" w:ascii="Times New Roman" w:hAnsi="Times New Roman" w:eastAsia="黑体" w:cs="Times New Roman"/>
          <w:bCs/>
          <w:kern w:val="0"/>
          <w:sz w:val="72"/>
          <w:szCs w:val="72"/>
        </w:rPr>
        <w:t>证券公司股票</w:t>
      </w:r>
      <w:r>
        <w:rPr>
          <w:rFonts w:ascii="Times New Roman" w:hAnsi="Times New Roman" w:eastAsia="黑体" w:cs="Times New Roman"/>
          <w:bCs/>
          <w:kern w:val="0"/>
          <w:sz w:val="72"/>
          <w:szCs w:val="72"/>
        </w:rPr>
        <w:t>期权</w:t>
      </w:r>
    </w:p>
    <w:p w14:paraId="6C7C28EE">
      <w:pPr>
        <w:widowControl/>
        <w:jc w:val="center"/>
        <w:rPr>
          <w:rFonts w:hint="default" w:ascii="Times New Roman" w:hAnsi="Times New Roman" w:eastAsia="黑体" w:cs="Times New Roman"/>
          <w:bCs/>
          <w:kern w:val="0"/>
          <w:sz w:val="72"/>
          <w:szCs w:val="72"/>
        </w:rPr>
      </w:pPr>
      <w:r>
        <w:rPr>
          <w:rFonts w:hint="default" w:ascii="Times New Roman" w:hAnsi="Times New Roman" w:eastAsia="黑体" w:cs="Times New Roman"/>
          <w:bCs/>
          <w:kern w:val="0"/>
          <w:sz w:val="72"/>
          <w:szCs w:val="72"/>
        </w:rPr>
        <w:t>经纪业务</w:t>
      </w:r>
      <w:r>
        <w:rPr>
          <w:rFonts w:ascii="Times New Roman" w:hAnsi="Times New Roman" w:eastAsia="黑体" w:cs="Times New Roman"/>
          <w:bCs/>
          <w:kern w:val="0"/>
          <w:sz w:val="72"/>
          <w:szCs w:val="72"/>
        </w:rPr>
        <w:t>指南</w:t>
      </w:r>
    </w:p>
    <w:p w14:paraId="46F6E7B4">
      <w:pPr>
        <w:widowControl/>
        <w:jc w:val="center"/>
        <w:rPr>
          <w:rFonts w:hint="default" w:ascii="Times New Roman" w:hAnsi="Times New Roman" w:eastAsia="仿宋_GB2312"/>
          <w:sz w:val="30"/>
          <w:szCs w:val="30"/>
        </w:rPr>
      </w:pPr>
      <w:r>
        <w:rPr>
          <w:rFonts w:hint="default" w:ascii="Times New Roman" w:hAnsi="Times New Roman" w:eastAsia="仿宋_GB2312"/>
          <w:sz w:val="30"/>
          <w:szCs w:val="30"/>
        </w:rPr>
        <w:t>（202</w:t>
      </w:r>
      <w:r>
        <w:rPr>
          <w:rFonts w:hint="eastAsia" w:ascii="Times New Roman" w:hAnsi="Times New Roman" w:eastAsia="仿宋_GB2312"/>
          <w:sz w:val="30"/>
          <w:szCs w:val="30"/>
          <w:lang w:eastAsia="zh-CN"/>
        </w:rPr>
        <w:t>6</w:t>
      </w:r>
      <w:r>
        <w:rPr>
          <w:rFonts w:hint="default" w:ascii="Times New Roman" w:hAnsi="Times New Roman" w:eastAsia="仿宋_GB2312"/>
          <w:sz w:val="30"/>
          <w:szCs w:val="30"/>
        </w:rPr>
        <w:t>年修订）</w:t>
      </w:r>
    </w:p>
    <w:p w14:paraId="69D20002">
      <w:pPr>
        <w:widowControl/>
        <w:jc w:val="center"/>
        <w:rPr>
          <w:rFonts w:hint="default" w:ascii="Times New Roman" w:hAnsi="Times New Roman" w:eastAsia="黑体" w:cs="Times New Roman"/>
          <w:bCs/>
          <w:kern w:val="0"/>
          <w:sz w:val="72"/>
          <w:szCs w:val="72"/>
        </w:rPr>
      </w:pPr>
    </w:p>
    <w:p w14:paraId="0B14EBBB">
      <w:pPr>
        <w:widowControl/>
        <w:jc w:val="center"/>
        <w:rPr>
          <w:rFonts w:hint="default" w:ascii="Times New Roman" w:hAnsi="Times New Roman" w:eastAsia="黑体" w:cs="Times New Roman"/>
          <w:bCs/>
          <w:kern w:val="0"/>
          <w:sz w:val="40"/>
          <w:szCs w:val="72"/>
        </w:rPr>
      </w:pPr>
    </w:p>
    <w:p w14:paraId="6CB9624A">
      <w:pPr>
        <w:widowControl/>
        <w:rPr>
          <w:rFonts w:hint="default" w:ascii="Times New Roman" w:hAnsi="Times New Roman"/>
          <w:b/>
          <w:sz w:val="72"/>
          <w:szCs w:val="72"/>
        </w:rPr>
      </w:pPr>
    </w:p>
    <w:p w14:paraId="7BEEDE65">
      <w:pPr>
        <w:widowControl/>
        <w:rPr>
          <w:rFonts w:hint="default" w:ascii="Times New Roman" w:hAnsi="Times New Roman"/>
          <w:b/>
          <w:sz w:val="72"/>
          <w:szCs w:val="72"/>
        </w:rPr>
      </w:pPr>
    </w:p>
    <w:p w14:paraId="44D7D001">
      <w:pPr>
        <w:widowControl/>
        <w:rPr>
          <w:rFonts w:hint="default" w:ascii="Times New Roman" w:hAnsi="Times New Roman"/>
          <w:b/>
          <w:sz w:val="72"/>
          <w:szCs w:val="72"/>
        </w:rPr>
      </w:pPr>
    </w:p>
    <w:p w14:paraId="72A83FB8">
      <w:pPr>
        <w:widowControl/>
        <w:spacing w:line="408" w:lineRule="auto"/>
        <w:jc w:val="center"/>
        <w:rPr>
          <w:rFonts w:hint="default" w:ascii="Times New Roman" w:hAnsi="Times New Roman" w:cs="Times New Roman"/>
          <w:b/>
          <w:kern w:val="0"/>
          <w:sz w:val="32"/>
          <w:szCs w:val="32"/>
        </w:rPr>
      </w:pPr>
      <w:r>
        <w:rPr>
          <w:rFonts w:hint="default" w:ascii="Times New Roman" w:hAnsi="Times New Roman" w:cs="Times New Roman"/>
          <w:b/>
          <w:kern w:val="0"/>
          <w:sz w:val="32"/>
          <w:szCs w:val="32"/>
        </w:rPr>
        <w:t>上海证券交易所</w:t>
      </w:r>
    </w:p>
    <w:p w14:paraId="058B20A7">
      <w:pPr>
        <w:widowControl/>
        <w:spacing w:line="408" w:lineRule="auto"/>
        <w:jc w:val="center"/>
        <w:rPr>
          <w:rFonts w:hint="default" w:ascii="Times New Roman" w:hAnsi="Times New Roman" w:cs="Times New Roman"/>
          <w:b/>
          <w:kern w:val="0"/>
          <w:sz w:val="32"/>
          <w:szCs w:val="32"/>
        </w:rPr>
      </w:pPr>
      <w:r>
        <w:rPr>
          <w:rFonts w:ascii="Times New Roman" w:hAnsi="Times New Roman" w:cs="Times New Roman"/>
          <w:b/>
          <w:kern w:val="0"/>
          <w:sz w:val="32"/>
          <w:szCs w:val="32"/>
        </w:rPr>
        <w:t>20</w:t>
      </w:r>
      <w:r>
        <w:rPr>
          <w:rFonts w:hint="default" w:ascii="Times New Roman" w:hAnsi="Times New Roman" w:cs="Times New Roman"/>
          <w:b/>
          <w:kern w:val="0"/>
          <w:sz w:val="32"/>
          <w:szCs w:val="32"/>
        </w:rPr>
        <w:t>2</w:t>
      </w:r>
      <w:r>
        <w:rPr>
          <w:rFonts w:hint="eastAsia" w:ascii="Times New Roman" w:hAnsi="Times New Roman" w:cs="Times New Roman"/>
          <w:b/>
          <w:kern w:val="0"/>
          <w:sz w:val="32"/>
          <w:szCs w:val="32"/>
          <w:lang w:eastAsia="zh-CN"/>
        </w:rPr>
        <w:t>6</w:t>
      </w:r>
      <w:r>
        <w:rPr>
          <w:rFonts w:ascii="Times New Roman" w:hAnsi="Times New Roman" w:cs="Times New Roman"/>
          <w:b/>
          <w:kern w:val="0"/>
          <w:sz w:val="32"/>
          <w:szCs w:val="32"/>
        </w:rPr>
        <w:t>年</w:t>
      </w:r>
      <w:r>
        <w:rPr>
          <w:rFonts w:hint="eastAsia" w:ascii="Times New Roman" w:hAnsi="Times New Roman" w:cs="Times New Roman"/>
          <w:b/>
          <w:kern w:val="0"/>
          <w:sz w:val="32"/>
          <w:szCs w:val="32"/>
          <w:lang w:val="en-US" w:eastAsia="zh-CN"/>
        </w:rPr>
        <w:t>6</w:t>
      </w:r>
      <w:r>
        <w:rPr>
          <w:rFonts w:hint="default" w:ascii="Times New Roman" w:hAnsi="Times New Roman" w:cs="Times New Roman"/>
          <w:b/>
          <w:kern w:val="0"/>
          <w:sz w:val="32"/>
          <w:szCs w:val="32"/>
        </w:rPr>
        <w:t>月</w:t>
      </w:r>
    </w:p>
    <w:p w14:paraId="3966BD2C">
      <w:pPr>
        <w:spacing w:before="120" w:after="120"/>
        <w:rPr>
          <w:rFonts w:ascii="Times New Roman" w:hAnsi="Times New Roman" w:eastAsia="仿宋"/>
          <w:b/>
          <w:kern w:val="44"/>
          <w:sz w:val="52"/>
          <w:szCs w:val="52"/>
        </w:rPr>
      </w:pPr>
    </w:p>
    <w:p w14:paraId="6FC17A15">
      <w:pPr>
        <w:jc w:val="center"/>
        <w:rPr>
          <w:rFonts w:hint="default" w:ascii="Times New Roman" w:hAnsi="Times New Roman" w:eastAsia="仿宋"/>
          <w:b/>
          <w:sz w:val="52"/>
          <w:szCs w:val="52"/>
        </w:rPr>
      </w:pPr>
    </w:p>
    <w:p w14:paraId="495DC980">
      <w:pPr>
        <w:jc w:val="center"/>
        <w:rPr>
          <w:rFonts w:hint="default" w:ascii="Times New Roman" w:hAnsi="Times New Roman" w:eastAsia="仿宋"/>
          <w:b/>
          <w:sz w:val="52"/>
          <w:szCs w:val="52"/>
        </w:rPr>
      </w:pPr>
    </w:p>
    <w:p w14:paraId="603B8BBD">
      <w:pPr>
        <w:widowControl/>
        <w:jc w:val="left"/>
        <w:rPr>
          <w:rFonts w:hint="eastAsia" w:ascii="Times New Roman" w:hAnsi="Times New Roman" w:eastAsia="黑体"/>
          <w:sz w:val="24"/>
          <w:szCs w:val="24"/>
        </w:rPr>
        <w:sectPr>
          <w:headerReference r:id="rId5" w:type="first"/>
          <w:headerReference r:id="rId4" w:type="default"/>
          <w:footerReference r:id="rId6" w:type="default"/>
          <w:pgSz w:w="11906" w:h="16838"/>
          <w:pgMar w:top="1440" w:right="1800" w:bottom="1440" w:left="1800" w:header="851" w:footer="992" w:gutter="0"/>
          <w:cols w:space="720" w:num="1"/>
          <w:titlePg/>
          <w:docGrid w:type="lines" w:linePitch="312" w:charSpace="0"/>
        </w:sectPr>
      </w:pPr>
    </w:p>
    <w:p w14:paraId="4637A87B">
      <w:pPr>
        <w:widowControl/>
        <w:tabs>
          <w:tab w:val="right" w:leader="dot" w:pos="8296"/>
        </w:tabs>
        <w:spacing w:line="276" w:lineRule="auto"/>
        <w:jc w:val="center"/>
        <w:rPr>
          <w:rFonts w:hint="default" w:ascii="Times New Roman" w:hAnsi="Times New Roman" w:eastAsia="仿宋_GB2312"/>
          <w:szCs w:val="21"/>
          <w:highlight w:val="none"/>
        </w:rPr>
      </w:pPr>
      <w:r>
        <w:rPr>
          <w:rFonts w:ascii="Times New Roman" w:hAnsi="Times New Roman" w:eastAsia="仿宋_GB2312"/>
          <w:b/>
          <w:bCs/>
          <w:sz w:val="44"/>
          <w:szCs w:val="44"/>
          <w:highlight w:val="none"/>
        </w:rPr>
        <w:t>目录</w:t>
      </w:r>
    </w:p>
    <w:p w14:paraId="073DA32F">
      <w:pPr>
        <w:pStyle w:val="20"/>
        <w:tabs>
          <w:tab w:val="right" w:leader="dot" w:pos="8296"/>
        </w:tabs>
        <w:rPr>
          <w:rFonts w:ascii="Times New Roman" w:hAnsi="Times New Roman" w:cs="Times New Roman" w:eastAsiaTheme="minorEastAsia"/>
          <w:b/>
          <w:highlight w:val="none"/>
        </w:rPr>
      </w:pPr>
      <w:r>
        <w:rPr>
          <w:rFonts w:ascii="Times New Roman" w:hAnsi="Times New Roman"/>
          <w:highlight w:val="none"/>
        </w:rPr>
        <w:fldChar w:fldCharType="begin"/>
      </w:r>
      <w:r>
        <w:rPr>
          <w:rStyle w:val="37"/>
          <w:rFonts w:ascii="Times New Roman" w:hAnsi="Times New Roman"/>
          <w:highlight w:val="none"/>
        </w:rPr>
        <w:instrText xml:space="preserve"> TOC \o "1-3" \h \z \u </w:instrText>
      </w:r>
      <w:r>
        <w:rPr>
          <w:rFonts w:ascii="Times New Roman" w:hAnsi="Times New Roman"/>
          <w:highlight w:val="none"/>
        </w:rPr>
        <w:fldChar w:fldCharType="separate"/>
      </w:r>
    </w:p>
    <w:sdt>
      <w:sdtPr>
        <w:rPr>
          <w:rFonts w:ascii="Times New Roman" w:hAnsi="Times New Roman"/>
          <w:sz w:val="21"/>
          <w:szCs w:val="21"/>
          <w:highlight w:val="none"/>
          <w:lang w:val="zh-CN"/>
        </w:rPr>
        <w:id w:val="-1"/>
        <w:docPartObj>
          <w:docPartGallery w:val="Table of Contents"/>
          <w:docPartUnique/>
        </w:docPartObj>
      </w:sdtPr>
      <w:sdtEndPr>
        <w:rPr>
          <w:rFonts w:ascii="Times New Roman" w:hAnsi="Times New Roman"/>
          <w:sz w:val="21"/>
          <w:szCs w:val="21"/>
          <w:highlight w:val="none"/>
          <w:lang w:val="zh-CN"/>
        </w:rPr>
      </w:sdtEndPr>
      <w:sdtContent>
        <w:p w14:paraId="5B5DE9C3">
          <w:pPr>
            <w:pStyle w:val="103"/>
            <w:rPr>
              <w:rFonts w:hint="eastAsia" w:ascii="Times New Roman" w:hAnsi="Times New Roman" w:eastAsiaTheme="minorEastAsia" w:cstheme="minorBidi"/>
              <w:sz w:val="21"/>
              <w:szCs w:val="21"/>
              <w:highlight w:val="none"/>
              <w14:ligatures w14:val="standardContextual"/>
            </w:rPr>
          </w:pPr>
          <w:r>
            <w:rPr>
              <w:rFonts w:ascii="Times New Roman" w:hAnsi="Times New Roman"/>
              <w:sz w:val="21"/>
              <w:szCs w:val="21"/>
              <w:highlight w:val="none"/>
            </w:rPr>
            <w:fldChar w:fldCharType="begin"/>
          </w:r>
          <w:r>
            <w:rPr>
              <w:rFonts w:ascii="Times New Roman" w:hAnsi="Times New Roman"/>
              <w:sz w:val="21"/>
              <w:szCs w:val="21"/>
              <w:highlight w:val="none"/>
            </w:rPr>
            <w:instrText xml:space="preserve"> TOC \o "1-3" \h \z \u </w:instrText>
          </w:r>
          <w:r>
            <w:rPr>
              <w:rFonts w:hint="eastAsia" w:ascii="Times New Roman" w:hAnsi="Times New Roman"/>
              <w:sz w:val="21"/>
              <w:szCs w:val="21"/>
              <w:highlight w:val="none"/>
            </w:rPr>
            <w:fldChar w:fldCharType="separate"/>
          </w:r>
        </w:p>
        <w:p w14:paraId="3CDDBF3F">
          <w:pPr>
            <w:pStyle w:val="20"/>
            <w:tabs>
              <w:tab w:val="right" w:leader="dot" w:pos="8296"/>
            </w:tabs>
            <w:rPr>
              <w:rFonts w:hint="default" w:ascii="Times New Roman" w:hAnsi="Times New Roman" w:eastAsia="黑体" w:cs="Times New Roman"/>
              <w:sz w:val="21"/>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Fonts w:hint="default" w:ascii="Times New Roman" w:hAnsi="Times New Roman" w:eastAsia="黑体"/>
              <w:szCs w:val="21"/>
              <w:highlight w:val="none"/>
            </w:rPr>
            <w:instrText xml:space="preserve">HYPERLINK \l "_Toc215740271"</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说明及声明</w:t>
          </w:r>
          <w:r>
            <w:rPr>
              <w:rFonts w:hint="default" w:ascii="Times New Roman" w:hAnsi="Times New Roman" w:eastAsia="黑体"/>
              <w:szCs w:val="21"/>
              <w:highlight w:val="none"/>
            </w:rPr>
            <w:tab/>
          </w:r>
          <w:r>
            <w:rPr>
              <w:rFonts w:hint="default" w:ascii="Times New Roman" w:hAnsi="Times New Roman" w:eastAsia="黑体"/>
              <w:szCs w:val="21"/>
              <w:highlight w:val="none"/>
            </w:rPr>
            <w:fldChar w:fldCharType="begin"/>
          </w:r>
          <w:r>
            <w:rPr>
              <w:rFonts w:hint="default" w:ascii="Times New Roman" w:hAnsi="Times New Roman" w:eastAsia="黑体"/>
              <w:szCs w:val="21"/>
              <w:highlight w:val="none"/>
            </w:rPr>
            <w:instrText xml:space="preserve"> </w:instrText>
          </w:r>
          <w:r>
            <w:rPr>
              <w:rFonts w:ascii="Times New Roman" w:hAnsi="Times New Roman" w:eastAsia="黑体"/>
              <w:szCs w:val="21"/>
              <w:highlight w:val="none"/>
            </w:rPr>
            <w:instrText xml:space="preserve">PAGEREF _Toc215740271 \h</w:instrText>
          </w:r>
          <w:r>
            <w:rPr>
              <w:rFonts w:hint="default" w:ascii="Times New Roman" w:hAnsi="Times New Roman" w:eastAsia="黑体"/>
              <w:szCs w:val="21"/>
              <w:highlight w:val="none"/>
            </w:rPr>
            <w:instrText xml:space="preserve"> </w:instrText>
          </w:r>
          <w:r>
            <w:rPr>
              <w:rFonts w:hint="default" w:ascii="Times New Roman" w:hAnsi="Times New Roman" w:eastAsia="黑体"/>
              <w:szCs w:val="21"/>
              <w:highlight w:val="none"/>
            </w:rPr>
            <w:fldChar w:fldCharType="separate"/>
          </w:r>
          <w:r>
            <w:rPr>
              <w:rFonts w:ascii="Times New Roman" w:hAnsi="Times New Roman" w:eastAsia="黑体"/>
              <w:szCs w:val="21"/>
              <w:highlight w:val="none"/>
            </w:rPr>
            <w:t>1</w:t>
          </w:r>
          <w:r>
            <w:rPr>
              <w:rFonts w:hint="default"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21FEB2D3">
          <w:pPr>
            <w:pStyle w:val="20"/>
            <w:tabs>
              <w:tab w:val="right" w:leader="dot" w:pos="8296"/>
            </w:tabs>
            <w:rPr>
              <w:rFonts w:hint="default" w:ascii="Times New Roman" w:hAnsi="Times New Roman" w:eastAsia="黑体" w:cs="Times New Roman"/>
              <w:sz w:val="21"/>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Fonts w:hint="default" w:ascii="Times New Roman" w:hAnsi="Times New Roman" w:eastAsia="黑体"/>
              <w:szCs w:val="21"/>
              <w:highlight w:val="none"/>
            </w:rPr>
            <w:instrText xml:space="preserve">HYPERLINK \l "_Toc215740272"</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第一章 总体要求</w:t>
          </w:r>
          <w:r>
            <w:rPr>
              <w:rFonts w:hint="default" w:ascii="Times New Roman" w:hAnsi="Times New Roman" w:eastAsia="黑体"/>
              <w:szCs w:val="21"/>
              <w:highlight w:val="none"/>
            </w:rPr>
            <w:tab/>
          </w:r>
          <w:r>
            <w:rPr>
              <w:rFonts w:hint="default" w:ascii="Times New Roman" w:hAnsi="Times New Roman" w:eastAsia="黑体"/>
              <w:szCs w:val="21"/>
              <w:highlight w:val="none"/>
            </w:rPr>
            <w:fldChar w:fldCharType="begin"/>
          </w:r>
          <w:r>
            <w:rPr>
              <w:rFonts w:hint="default" w:ascii="Times New Roman" w:hAnsi="Times New Roman" w:eastAsia="黑体"/>
              <w:szCs w:val="21"/>
              <w:highlight w:val="none"/>
            </w:rPr>
            <w:instrText xml:space="preserve"> </w:instrText>
          </w:r>
          <w:r>
            <w:rPr>
              <w:rFonts w:ascii="Times New Roman" w:hAnsi="Times New Roman" w:eastAsia="黑体"/>
              <w:szCs w:val="21"/>
              <w:highlight w:val="none"/>
            </w:rPr>
            <w:instrText xml:space="preserve">PAGEREF _Toc215740272 \h</w:instrText>
          </w:r>
          <w:r>
            <w:rPr>
              <w:rFonts w:hint="default" w:ascii="Times New Roman" w:hAnsi="Times New Roman" w:eastAsia="黑体"/>
              <w:szCs w:val="21"/>
              <w:highlight w:val="none"/>
            </w:rPr>
            <w:instrText xml:space="preserve"> </w:instrText>
          </w:r>
          <w:r>
            <w:rPr>
              <w:rFonts w:hint="default" w:ascii="Times New Roman" w:hAnsi="Times New Roman" w:eastAsia="黑体"/>
              <w:szCs w:val="21"/>
              <w:highlight w:val="none"/>
            </w:rPr>
            <w:fldChar w:fldCharType="separate"/>
          </w:r>
          <w:r>
            <w:rPr>
              <w:rFonts w:ascii="Times New Roman" w:hAnsi="Times New Roman" w:eastAsia="黑体"/>
              <w:szCs w:val="21"/>
              <w:highlight w:val="none"/>
            </w:rPr>
            <w:t>2</w:t>
          </w:r>
          <w:r>
            <w:rPr>
              <w:rFonts w:hint="default"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431F0173">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一、组织架构和职责分工</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787667B">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"_Toc215740274"</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二、岗位设置</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_Toc215740274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40733E05">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三、制度与流程</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201F2EA5">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四、内控管理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74D27D6">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"_Toc215740277"</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第二章 股票期权经纪业务交易权限申请</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_Toc215740277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8</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15FE29EA">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一、申请材料</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29AC26F">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"_Toc215740279"</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二、申请流程</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_Toc215740279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62200A8">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"_Toc215740280"</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w:t>
          </w:r>
          <w:r>
            <w:rPr>
              <w:rStyle w:val="37"/>
              <w:rFonts w:hint="eastAsia" w:ascii="Times New Roman" w:hAnsi="Times New Roman"/>
              <w:szCs w:val="21"/>
              <w:highlight w:val="none"/>
              <w:lang w:val="en-US" w:eastAsia="zh-CN"/>
            </w:rPr>
            <w:t>信息报备</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_Toc215740280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17FE8D3">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w:t>
          </w:r>
          <w:r>
            <w:rPr>
              <w:rStyle w:val="37"/>
              <w:rFonts w:hint="default" w:ascii="Times New Roman" w:hAnsi="Times New Roman"/>
              <w:szCs w:val="21"/>
              <w:highlight w:val="none"/>
            </w:rPr>
            <w:t>开通一网通办会员机构门户（交易参与人业务）使用权限</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313BE8C">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"_Toc215740282"</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第三章 投资者适当性管理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_Toc215740282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12</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7781B6C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一、投资者准入条件的认定</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464EF4A5">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"_Toc215740284"</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二、综合评估</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_Toc215740284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E0C48DD">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w:t>
          </w:r>
          <w:r>
            <w:rPr>
              <w:rStyle w:val="37"/>
              <w:rFonts w:hint="default" w:ascii="Times New Roman" w:hAnsi="Times New Roman"/>
              <w:szCs w:val="21"/>
              <w:highlight w:val="none"/>
            </w:rPr>
            <w:t>股票期权知识测试</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17</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85427D8">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四、投资者分级管理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F894FF9">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"_Toc215740287"</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五、投资者适当性评估的动态持续管理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_Toc215740287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1CE00B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六、客户档案资料管理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6FF211C">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"_Toc215740289"</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七、本所持续监督管理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_Toc215740289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4A60FD6">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"_Toc215740290"</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第四章 开户管理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_Toc215740290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23</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41BA34FF">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一、账户体系</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F8FF394">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"_Toc215740292"</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二、衍生品合约账户的开立与管理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_Toc215740292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24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70803F8B">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"_Toc215740293"</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第五章 持仓限额管理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_Toc215740293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30</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03129BFB">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"_Toc215740294"</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一、持仓限额前端控制</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_Toc215740294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30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7BF68F9F">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二、客户买入额度管理（限购）</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34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CF0C3BF">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"_Toc215740296"</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第六章 保证金管理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_Toc215740296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37</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7B92400A">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"_Toc215740297"</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一、客户保证金管理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_Toc215740297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37</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4AFAEAD">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"_Toc215740298"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二、备兑开仓客户保证金管理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_Toc215740298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48</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2CD042E">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"_Toc215740299"</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第七章 资金风险管理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_Toc215740299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51</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1E2630A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"_Toc215740300"</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一、资金盯市管理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_Toc215740300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51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A264021">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二、资金划拨应急处理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54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876FF50">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"_Toc215740302"</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第八章 强行平仓管理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_Toc215740302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56</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382D8B49">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一、保证金不足强行平仓</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56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46454696">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"_Toc215740304"</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二、备兑不足强行平仓</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_Toc215740304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59</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AB1C4E0">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三、持仓超限平仓</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40DAC427">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四、强平成交回报PBU管理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23A3F2E6">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"_Toc215740307"</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五、强行平仓申报订单指令</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_Toc215740307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3AA1627">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"_Toc215740308"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六、平仓有关的应急处理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_Toc215740308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F20C3A4">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"_Toc215740309"</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第九章 行权交收管理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_Toc215740309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64</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76FE2C83">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"_Toc215740310"</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一、投资者持仓合约的行权提醒</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_Toc215740310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FFE97CD">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二、投资者行权及交收日风险管理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64</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51250D7">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"_Toc215740312"</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三、行权日前调整保证金参数水平提醒</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_Toc215740312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AB418E1">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四、行权指令合并申报</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A2B423D">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"_Toc215740314"</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第十章 协议行权</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_Toc215740314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69</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3898D11D">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一、协议行权策略</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69</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99B0CCA">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二、协议行权注意事项</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70</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2C46979F">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"_Toc215740317"</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第十一章 客户结算</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_Toc215740317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71</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2B337A5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一、日常交易清算</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70EA2630">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"_Toc215740319"</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二、清算后数据对账</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_Toc215740319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1C7E88F">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"_Toc215740320"</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三、日常交易交收</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_Toc215740320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4D31B028">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"_Toc215740321"</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第十二章 投资者数据报备</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_Toc215740321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74</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063FD231">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"_Toc215740322"</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第十三章 程序</w:t>
          </w:r>
          <w:r>
            <w:rPr>
              <w:rStyle w:val="37"/>
              <w:rFonts w:hint="eastAsia" w:ascii="Times New Roman" w:hAnsi="Times New Roman" w:eastAsia="黑体"/>
              <w:b w:val="0"/>
              <w:bCs w:val="0"/>
              <w:szCs w:val="21"/>
              <w:highlight w:val="none"/>
              <w:lang w:val="en-US" w:eastAsia="zh-CN"/>
            </w:rPr>
            <w:t>化</w:t>
          </w:r>
          <w:r>
            <w:rPr>
              <w:rStyle w:val="37"/>
              <w:rFonts w:hint="default" w:ascii="Times New Roman" w:hAnsi="Times New Roman" w:eastAsia="黑体"/>
              <w:b w:val="0"/>
              <w:bCs w:val="0"/>
              <w:szCs w:val="21"/>
              <w:highlight w:val="none"/>
            </w:rPr>
            <w:t>交易</w:t>
          </w:r>
          <w:r>
            <w:rPr>
              <w:rStyle w:val="37"/>
              <w:rFonts w:hint="eastAsia" w:ascii="Times New Roman" w:hAnsi="Times New Roman" w:eastAsia="黑体"/>
              <w:b w:val="0"/>
              <w:bCs w:val="0"/>
              <w:szCs w:val="21"/>
              <w:highlight w:val="none"/>
              <w:lang w:val="en-US" w:eastAsia="zh-CN"/>
            </w:rPr>
            <w:t>报告</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_Toc215740322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76</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596F453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一、程序</w:t>
          </w:r>
          <w:r>
            <w:rPr>
              <w:rStyle w:val="37"/>
              <w:rFonts w:hint="eastAsia" w:ascii="Times New Roman" w:hAnsi="Times New Roman"/>
              <w:szCs w:val="21"/>
              <w:highlight w:val="none"/>
              <w:lang w:val="en-US" w:eastAsia="zh-CN"/>
            </w:rPr>
            <w:t>化</w:t>
          </w:r>
          <w:r>
            <w:rPr>
              <w:rStyle w:val="37"/>
              <w:rFonts w:hint="default" w:ascii="Times New Roman" w:hAnsi="Times New Roman" w:eastAsia="宋体"/>
              <w:szCs w:val="21"/>
              <w:highlight w:val="none"/>
            </w:rPr>
            <w:t>交易接入管理要求</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CC03225">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"_Toc215740324"</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二、程序</w:t>
          </w:r>
          <w:r>
            <w:rPr>
              <w:rStyle w:val="37"/>
              <w:rFonts w:hint="eastAsia" w:ascii="Times New Roman" w:hAnsi="Times New Roman"/>
              <w:szCs w:val="21"/>
              <w:highlight w:val="none"/>
              <w:lang w:val="en-US" w:eastAsia="zh-CN"/>
            </w:rPr>
            <w:t>化</w:t>
          </w:r>
          <w:r>
            <w:rPr>
              <w:rStyle w:val="37"/>
              <w:rFonts w:hint="default" w:ascii="Times New Roman" w:hAnsi="Times New Roman" w:eastAsia="宋体"/>
              <w:szCs w:val="21"/>
              <w:highlight w:val="none"/>
            </w:rPr>
            <w:t>交易</w:t>
          </w:r>
          <w:r>
            <w:rPr>
              <w:rStyle w:val="37"/>
              <w:rFonts w:hint="eastAsia" w:ascii="Times New Roman" w:hAnsi="Times New Roman"/>
              <w:szCs w:val="21"/>
              <w:highlight w:val="none"/>
              <w:lang w:val="en-US" w:eastAsia="zh-CN"/>
            </w:rPr>
            <w:t>报告</w:t>
          </w:r>
          <w:r>
            <w:rPr>
              <w:rStyle w:val="37"/>
              <w:rFonts w:hint="default" w:ascii="Times New Roman" w:hAnsi="Times New Roman" w:eastAsia="宋体"/>
              <w:szCs w:val="21"/>
              <w:highlight w:val="none"/>
            </w:rPr>
            <w:t>管理要求</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_Toc215740324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76</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4506805">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三、变更</w:t>
          </w:r>
          <w:r>
            <w:rPr>
              <w:rStyle w:val="37"/>
              <w:rFonts w:hint="eastAsia" w:ascii="Times New Roman" w:hAnsi="Times New Roman"/>
              <w:szCs w:val="21"/>
              <w:highlight w:val="none"/>
              <w:lang w:val="en-US" w:eastAsia="zh-CN"/>
            </w:rPr>
            <w:t>报告</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77</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BB35298">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四、程序</w:t>
          </w:r>
          <w:r>
            <w:rPr>
              <w:rStyle w:val="37"/>
              <w:rFonts w:hint="eastAsia" w:ascii="Times New Roman" w:hAnsi="Times New Roman"/>
              <w:szCs w:val="21"/>
              <w:highlight w:val="none"/>
              <w:lang w:val="en-US" w:eastAsia="zh-CN"/>
            </w:rPr>
            <w:t>化</w:t>
          </w:r>
          <w:r>
            <w:rPr>
              <w:rStyle w:val="37"/>
              <w:rFonts w:hint="default" w:ascii="Times New Roman" w:hAnsi="Times New Roman" w:eastAsia="宋体"/>
              <w:szCs w:val="21"/>
              <w:highlight w:val="none"/>
            </w:rPr>
            <w:t>交易的监管</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77</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97475B2">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"_Toc215740327"</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第十四章 大户报告</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_Toc215740327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79</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63D41DD4">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"_Toc215740328"</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一、报告要求和报告材料</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_Toc215740328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79</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B894AFF">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"_Toc215740329"</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二、报告注意事项</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_Toc215740329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79</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D0EF194">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"_Toc215740330"</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第十五章 应急预案</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_Toc215740330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81</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0156858C">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一、业务人员操作应急事件</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F4E09F9">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"_Toc215740332"</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二、系统技术应急事件</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_Toc215740332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1FE1858E">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三、交易异常事件</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29CD4D69">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"_Toc215740334"</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b w:val="0"/>
              <w:bCs w:val="0"/>
              <w:szCs w:val="21"/>
              <w:highlight w:val="none"/>
            </w:rPr>
            <w:t xml:space="preserve">第十六章 </w:t>
          </w:r>
          <w:r>
            <w:rPr>
              <w:rStyle w:val="37"/>
              <w:rFonts w:hint="default" w:ascii="Times New Roman" w:hAnsi="Times New Roman" w:eastAsia="黑体"/>
              <w:szCs w:val="21"/>
              <w:highlight w:val="none"/>
            </w:rPr>
            <w:t>交易信息提醒及股票期权基础信息接口文件说明</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_Toc215740334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83</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441F9128">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"_Toc215740335"</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一、交易信息内容</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_Toc215740335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A108779">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"_Toc215740336"</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二、信息公告与提醒</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_Toc215740336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3729DB90">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"_Toc215740337"</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三、</w:t>
          </w:r>
          <w:r>
            <w:rPr>
              <w:rStyle w:val="37"/>
              <w:rFonts w:hint="default" w:ascii="Times New Roman" w:hAnsi="Times New Roman"/>
              <w:szCs w:val="21"/>
              <w:highlight w:val="none"/>
            </w:rPr>
            <w:t>股票期权基础信息接口文件说明</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_Toc215740337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85</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5BD8FC67">
          <w:pPr>
            <w:pStyle w:val="20"/>
            <w:tabs>
              <w:tab w:val="right" w:leader="dot" w:pos="8296"/>
            </w:tabs>
            <w:rPr>
              <w:rStyle w:val="37"/>
              <w:rFonts w:hint="eastAsia" w:ascii="Times New Roman" w:hAnsi="Times New Roman" w:eastAsia="黑体" w:cstheme="minorBidi"/>
              <w:sz w:val="22"/>
              <w:szCs w:val="21"/>
              <w:highlight w:val="none"/>
              <w14:ligatures w14:val="standardContextual"/>
            </w:rPr>
          </w:pPr>
          <w:r>
            <w:rPr>
              <w:rStyle w:val="37"/>
              <w:rFonts w:hint="default" w:ascii="Times New Roman" w:hAnsi="Times New Roman" w:eastAsia="黑体"/>
              <w:szCs w:val="21"/>
              <w:highlight w:val="none"/>
            </w:rPr>
            <w:fldChar w:fldCharType="begin"/>
          </w:r>
          <w:r>
            <w:rPr>
              <w:rStyle w:val="37"/>
              <w:rFonts w:hint="default"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instrText xml:space="preserve">HYPERLINK \l "_Toc215740338"</w:instrText>
          </w:r>
          <w:r>
            <w:rPr>
              <w:rStyle w:val="37"/>
              <w:rFonts w:hint="default" w:ascii="Times New Roman" w:hAnsi="Times New Roman" w:eastAsia="黑体"/>
              <w:szCs w:val="21"/>
              <w:highlight w:val="none"/>
            </w:rPr>
            <w:instrText xml:space="preserve"> </w:instrText>
          </w:r>
          <w:r>
            <w:rPr>
              <w:rStyle w:val="37"/>
              <w:rFonts w:hint="default" w:ascii="Times New Roman" w:hAnsi="Times New Roman" w:eastAsia="黑体"/>
              <w:szCs w:val="21"/>
              <w:highlight w:val="none"/>
            </w:rPr>
            <w:fldChar w:fldCharType="separate"/>
          </w:r>
          <w:r>
            <w:rPr>
              <w:rStyle w:val="37"/>
              <w:rFonts w:hint="default" w:ascii="Times New Roman" w:hAnsi="Times New Roman" w:eastAsia="黑体"/>
              <w:szCs w:val="21"/>
              <w:highlight w:val="none"/>
            </w:rPr>
            <w:t>第十七章 投资者教育与客户投诉处理</w:t>
          </w:r>
          <w:r>
            <w:rPr>
              <w:rStyle w:val="37"/>
              <w:rFonts w:hint="eastAsia" w:ascii="Times New Roman" w:hAnsi="Times New Roman" w:eastAsia="黑体"/>
              <w:szCs w:val="21"/>
              <w:highlight w:val="none"/>
            </w:rPr>
            <w:tab/>
          </w:r>
          <w:r>
            <w:rPr>
              <w:rStyle w:val="37"/>
              <w:rFonts w:hint="eastAsia" w:ascii="Times New Roman" w:hAnsi="Times New Roman" w:eastAsia="黑体"/>
              <w:szCs w:val="21"/>
              <w:highlight w:val="none"/>
            </w:rPr>
            <w:fldChar w:fldCharType="begin"/>
          </w:r>
          <w:r>
            <w:rPr>
              <w:rStyle w:val="37"/>
              <w:rFonts w:hint="eastAsia" w:ascii="Times New Roman" w:hAnsi="Times New Roman" w:eastAsia="黑体"/>
              <w:szCs w:val="21"/>
              <w:highlight w:val="none"/>
            </w:rPr>
            <w:instrText xml:space="preserve"> </w:instrText>
          </w:r>
          <w:r>
            <w:rPr>
              <w:rStyle w:val="37"/>
              <w:rFonts w:ascii="Times New Roman" w:hAnsi="Times New Roman" w:eastAsia="黑体"/>
              <w:szCs w:val="21"/>
              <w:highlight w:val="none"/>
            </w:rPr>
            <w:instrText xml:space="preserve">PAGEREF _Toc215740338 \h</w:instrText>
          </w:r>
          <w:r>
            <w:rPr>
              <w:rStyle w:val="37"/>
              <w:rFonts w:hint="eastAsia" w:ascii="Times New Roman" w:hAnsi="Times New Roman" w:eastAsia="黑体"/>
              <w:szCs w:val="21"/>
              <w:highlight w:val="none"/>
            </w:rPr>
            <w:instrText xml:space="preserve"> </w:instrText>
          </w:r>
          <w:r>
            <w:rPr>
              <w:rStyle w:val="37"/>
              <w:rFonts w:hint="eastAsia" w:ascii="Times New Roman" w:hAnsi="Times New Roman" w:eastAsia="黑体"/>
              <w:szCs w:val="21"/>
              <w:highlight w:val="none"/>
            </w:rPr>
            <w:fldChar w:fldCharType="separate"/>
          </w:r>
          <w:r>
            <w:rPr>
              <w:rStyle w:val="37"/>
              <w:rFonts w:ascii="Times New Roman" w:hAnsi="Times New Roman" w:eastAsia="黑体"/>
              <w:szCs w:val="21"/>
              <w:highlight w:val="none"/>
            </w:rPr>
            <w:t>88</w:t>
          </w:r>
          <w:r>
            <w:rPr>
              <w:rStyle w:val="37"/>
              <w:rFonts w:hint="eastAsia" w:ascii="Times New Roman" w:hAnsi="Times New Roman" w:eastAsia="黑体"/>
              <w:szCs w:val="21"/>
              <w:highlight w:val="none"/>
            </w:rPr>
            <w:fldChar w:fldCharType="end"/>
          </w:r>
          <w:r>
            <w:rPr>
              <w:rStyle w:val="37"/>
              <w:rFonts w:hint="default" w:ascii="Times New Roman" w:hAnsi="Times New Roman" w:eastAsia="黑体"/>
              <w:szCs w:val="21"/>
              <w:highlight w:val="none"/>
            </w:rPr>
            <w:fldChar w:fldCharType="end"/>
          </w:r>
        </w:p>
        <w:p w14:paraId="2E57D422">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"_Toc215740339"</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一、投资者教育</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_Toc215740339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88</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7A71F896">
          <w:pPr>
            <w:pStyle w:val="25"/>
            <w:tabs>
              <w:tab w:val="right" w:leader="dot" w:pos="8296"/>
            </w:tabs>
            <w:ind w:left="0" w:leftChars="0"/>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"_Toc215740340"</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eastAsia="宋体"/>
              <w:szCs w:val="21"/>
              <w:highlight w:val="none"/>
            </w:rPr>
            <w:t>二、客户投诉处理</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_Toc215740340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89</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15A8357">
          <w:pPr>
            <w:pStyle w:val="20"/>
            <w:tabs>
              <w:tab w:val="right" w:leader="dot" w:pos="8296"/>
            </w:tabs>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"_Toc215740341"</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szCs w:val="21"/>
              <w:highlight w:val="none"/>
            </w:rPr>
            <w:t>附件一</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_Toc215740341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92</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86D4300">
          <w:pPr>
            <w:pStyle w:val="20"/>
            <w:tabs>
              <w:tab w:val="right" w:leader="dot" w:pos="8296"/>
            </w:tabs>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"_Toc215740342"</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szCs w:val="21"/>
              <w:highlight w:val="none"/>
            </w:rPr>
            <w:t>附件二</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_Toc215740342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hint="default" w:ascii="Times New Roman" w:hAnsi="Times New Roman"/>
              <w:b w:val="0"/>
              <w:szCs w:val="21"/>
              <w:highlight w:val="none"/>
              <w:lang w:val="en-US" w:eastAsia="zh-CN"/>
            </w:rPr>
            <w:t>111</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62B018C9">
          <w:pPr>
            <w:pStyle w:val="20"/>
            <w:tabs>
              <w:tab w:val="right" w:leader="dot" w:pos="8296"/>
            </w:tabs>
            <w:rPr>
              <w:rFonts w:hint="default" w:ascii="Times New Roman" w:hAnsi="Times New Roman" w:eastAsia="宋体" w:cs="Times New Roman"/>
              <w:sz w:val="21"/>
              <w:szCs w:val="21"/>
              <w:highlight w:val="none"/>
              <w14:ligatures w14:val="standardContextual"/>
            </w:rPr>
          </w:pPr>
          <w:r>
            <w:rPr>
              <w:rStyle w:val="37"/>
              <w:rFonts w:hint="default" w:ascii="Times New Roman" w:hAnsi="Times New Roman"/>
              <w:szCs w:val="21"/>
              <w:highlight w:val="none"/>
            </w:rPr>
            <w:fldChar w:fldCharType="begin"/>
          </w:r>
          <w:r>
            <w:rPr>
              <w:rStyle w:val="37"/>
              <w:rFonts w:hint="default" w:ascii="Times New Roman" w:hAnsi="Times New Roman"/>
              <w:szCs w:val="21"/>
              <w:highlight w:val="none"/>
            </w:rPr>
            <w:instrText xml:space="preserve"> </w:instrText>
          </w:r>
          <w:r>
            <w:rPr>
              <w:rFonts w:hint="default" w:ascii="Times New Roman" w:hAnsi="Times New Roman"/>
              <w:szCs w:val="21"/>
              <w:highlight w:val="none"/>
            </w:rPr>
            <w:instrText xml:space="preserve">HYPERLINK \l "_Toc215740343"</w:instrText>
          </w:r>
          <w:r>
            <w:rPr>
              <w:rStyle w:val="37"/>
              <w:rFonts w:hint="default" w:ascii="Times New Roman" w:hAnsi="Times New Roman"/>
              <w:szCs w:val="21"/>
              <w:highlight w:val="none"/>
            </w:rPr>
            <w:instrText xml:space="preserve"> </w:instrText>
          </w:r>
          <w:r>
            <w:rPr>
              <w:rStyle w:val="37"/>
              <w:rFonts w:hint="default" w:ascii="Times New Roman" w:hAnsi="Times New Roman"/>
              <w:szCs w:val="21"/>
              <w:highlight w:val="none"/>
            </w:rPr>
            <w:fldChar w:fldCharType="separate"/>
          </w:r>
          <w:r>
            <w:rPr>
              <w:rStyle w:val="37"/>
              <w:rFonts w:hint="default" w:ascii="Times New Roman" w:hAnsi="Times New Roman"/>
              <w:szCs w:val="21"/>
              <w:highlight w:val="none"/>
            </w:rPr>
            <w:t>附件三</w:t>
          </w:r>
          <w:r>
            <w:rPr>
              <w:rFonts w:hint="default" w:ascii="Times New Roman" w:hAnsi="Times New Roman"/>
              <w:szCs w:val="21"/>
              <w:highlight w:val="none"/>
            </w:rPr>
            <w:tab/>
          </w:r>
          <w:r>
            <w:rPr>
              <w:rFonts w:hint="default" w:ascii="Times New Roman" w:hAnsi="Times New Roman"/>
              <w:szCs w:val="21"/>
              <w:highlight w:val="none"/>
            </w:rPr>
            <w:fldChar w:fldCharType="begin"/>
          </w:r>
          <w:r>
            <w:rPr>
              <w:rFonts w:hint="default" w:ascii="Times New Roman" w:hAnsi="Times New Roman"/>
              <w:szCs w:val="21"/>
              <w:highlight w:val="none"/>
            </w:rPr>
            <w:instrText xml:space="preserve"> </w:instrText>
          </w:r>
          <w:r>
            <w:rPr>
              <w:rFonts w:ascii="Times New Roman" w:hAnsi="Times New Roman"/>
              <w:szCs w:val="21"/>
              <w:highlight w:val="none"/>
            </w:rPr>
            <w:instrText xml:space="preserve">PAGEREF _Toc215740343 \h</w:instrText>
          </w:r>
          <w:r>
            <w:rPr>
              <w:rFonts w:hint="default" w:ascii="Times New Roman" w:hAnsi="Times New Roman"/>
              <w:szCs w:val="21"/>
              <w:highlight w:val="none"/>
            </w:rPr>
            <w:instrText xml:space="preserve"> </w:instrText>
          </w:r>
          <w:r>
            <w:rPr>
              <w:rFonts w:hint="default" w:ascii="Times New Roman" w:hAnsi="Times New Roman"/>
              <w:szCs w:val="21"/>
              <w:highlight w:val="none"/>
            </w:rPr>
            <w:fldChar w:fldCharType="separate"/>
          </w:r>
          <w:r>
            <w:rPr>
              <w:rFonts w:ascii="Times New Roman" w:hAnsi="Times New Roman"/>
              <w:szCs w:val="21"/>
              <w:highlight w:val="none"/>
            </w:rPr>
            <w:t>113</w:t>
          </w:r>
          <w:r>
            <w:rPr>
              <w:rFonts w:hint="default" w:ascii="Times New Roman" w:hAnsi="Times New Roman"/>
              <w:szCs w:val="21"/>
              <w:highlight w:val="none"/>
            </w:rPr>
            <w:fldChar w:fldCharType="end"/>
          </w:r>
          <w:r>
            <w:rPr>
              <w:rStyle w:val="37"/>
              <w:rFonts w:hint="default" w:ascii="Times New Roman" w:hAnsi="Times New Roman"/>
              <w:szCs w:val="21"/>
              <w:highlight w:val="none"/>
            </w:rPr>
            <w:fldChar w:fldCharType="end"/>
          </w:r>
        </w:p>
        <w:p w14:paraId="064312AC">
          <w:pPr>
            <w:rPr>
              <w:rFonts w:hint="eastAsia" w:ascii="Times New Roman" w:hAnsi="Times New Roman"/>
              <w:szCs w:val="21"/>
              <w:highlight w:val="none"/>
            </w:rPr>
          </w:pPr>
          <w:r>
            <w:rPr>
              <w:rFonts w:ascii="Times New Roman" w:hAnsi="Times New Roman"/>
              <w:b w:val="0"/>
              <w:bCs/>
              <w:szCs w:val="21"/>
              <w:highlight w:val="none"/>
              <w:lang w:val="zh-CN"/>
            </w:rPr>
            <w:fldChar w:fldCharType="end"/>
          </w:r>
        </w:p>
      </w:sdtContent>
    </w:sdt>
    <w:p w14:paraId="753F80D5">
      <w:pPr>
        <w:pStyle w:val="20"/>
        <w:tabs>
          <w:tab w:val="right" w:leader="dot" w:pos="8296"/>
        </w:tabs>
        <w:rPr>
          <w:rStyle w:val="37"/>
          <w:rFonts w:ascii="Times New Roman" w:hAnsi="Times New Roman"/>
        </w:rPr>
      </w:pPr>
      <w:r>
        <w:rPr>
          <w:rFonts w:ascii="Times New Roman" w:hAnsi="Times New Roman"/>
          <w:color w:val="337AB7"/>
          <w:highlight w:val="none"/>
        </w:rPr>
        <w:fldChar w:fldCharType="end"/>
      </w:r>
    </w:p>
    <w:p w14:paraId="2C6FE9FD">
      <w:pPr>
        <w:keepNext/>
        <w:keepLines/>
        <w:spacing w:line="579" w:lineRule="auto"/>
        <w:jc w:val="center"/>
        <w:rPr>
          <w:rFonts w:hint="eastAsia" w:ascii="Times New Roman" w:hAnsi="Times New Roman" w:eastAsia="黑体"/>
          <w:sz w:val="32"/>
          <w:szCs w:val="32"/>
        </w:rPr>
        <w:sectPr>
          <w:footerReference r:id="rId7" w:type="default"/>
          <w:pgSz w:w="11906" w:h="16838"/>
          <w:pgMar w:top="1440" w:right="1800" w:bottom="1440" w:left="1800" w:header="851" w:footer="992" w:gutter="0"/>
          <w:pgNumType w:start="1"/>
          <w:cols w:space="720" w:num="1"/>
          <w:docGrid w:type="lines" w:linePitch="312" w:charSpace="0"/>
        </w:sectPr>
      </w:pPr>
      <w:bookmarkStart w:id="0" w:name="_Toc452016991"/>
      <w:bookmarkStart w:id="1" w:name="_Toc25523"/>
      <w:bookmarkStart w:id="2" w:name="_Toc11823"/>
      <w:bookmarkStart w:id="3" w:name="_Toc408749972"/>
      <w:bookmarkStart w:id="4" w:name="_Toc148"/>
    </w:p>
    <w:p w14:paraId="62099F7C">
      <w:pPr>
        <w:pStyle w:val="4"/>
        <w:jc w:val="center"/>
        <w:rPr>
          <w:rFonts w:hint="default" w:ascii="Times New Roman" w:hAnsi="Times New Roman" w:eastAsia="黑体"/>
          <w:sz w:val="32"/>
          <w:szCs w:val="32"/>
        </w:rPr>
      </w:pPr>
      <w:bookmarkStart w:id="5" w:name="_Toc23947127"/>
      <w:bookmarkStart w:id="6" w:name="_Toc215740270"/>
      <w:r>
        <w:rPr>
          <w:rFonts w:hint="default" w:ascii="Times New Roman" w:hAnsi="Times New Roman" w:eastAsia="黑体"/>
          <w:sz w:val="32"/>
          <w:szCs w:val="32"/>
        </w:rPr>
        <w:t>证券公司股票期权经纪业务指南</w:t>
      </w:r>
      <w:bookmarkEnd w:id="0"/>
      <w:bookmarkEnd w:id="1"/>
      <w:bookmarkEnd w:id="2"/>
      <w:bookmarkEnd w:id="3"/>
      <w:bookmarkEnd w:id="4"/>
      <w:bookmarkEnd w:id="5"/>
      <w:bookmarkEnd w:id="6"/>
    </w:p>
    <w:p w14:paraId="168A0D1F">
      <w:pPr>
        <w:pStyle w:val="4"/>
        <w:jc w:val="center"/>
        <w:rPr>
          <w:rFonts w:hint="default" w:ascii="Times New Roman" w:hAnsi="Times New Roman" w:eastAsia="黑体"/>
          <w:sz w:val="32"/>
          <w:szCs w:val="32"/>
        </w:rPr>
      </w:pPr>
      <w:bookmarkStart w:id="7" w:name="_Toc26697"/>
      <w:bookmarkStart w:id="8" w:name="_Toc21159"/>
      <w:bookmarkStart w:id="9" w:name="_Toc23947128"/>
      <w:bookmarkStart w:id="10" w:name="_Toc408665026"/>
      <w:bookmarkStart w:id="11" w:name="_Toc408749973"/>
      <w:bookmarkStart w:id="12" w:name="_Toc452016992"/>
      <w:bookmarkStart w:id="13" w:name="_Toc215740271"/>
      <w:bookmarkStart w:id="14" w:name="_Toc16641"/>
      <w:r>
        <w:rPr>
          <w:rFonts w:hint="default" w:ascii="Times New Roman" w:hAnsi="Times New Roman" w:eastAsia="黑体"/>
          <w:sz w:val="32"/>
          <w:szCs w:val="32"/>
        </w:rPr>
        <w:t>说明及声明</w:t>
      </w:r>
      <w:bookmarkEnd w:id="7"/>
      <w:bookmarkEnd w:id="8"/>
      <w:bookmarkEnd w:id="9"/>
      <w:bookmarkEnd w:id="10"/>
      <w:bookmarkEnd w:id="11"/>
      <w:bookmarkEnd w:id="12"/>
      <w:bookmarkEnd w:id="13"/>
      <w:bookmarkEnd w:id="14"/>
    </w:p>
    <w:p w14:paraId="734C1988">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为便于证券公司参与上海证券交易所（以下简称本所）股票期权业务，规范开展股票期权经纪业务，有效防范业务风险，根据《上海证券交易所股票期权试点交易规则》</w:t>
      </w:r>
      <w:r>
        <w:rPr>
          <w:rFonts w:ascii="Times New Roman" w:hAnsi="Times New Roman" w:eastAsia="仿宋_GB2312"/>
          <w:sz w:val="28"/>
          <w:szCs w:val="28"/>
        </w:rPr>
        <w:t>（</w:t>
      </w:r>
      <w:r>
        <w:rPr>
          <w:rFonts w:hint="default" w:ascii="Times New Roman" w:hAnsi="Times New Roman" w:eastAsia="仿宋_GB2312"/>
          <w:sz w:val="28"/>
          <w:szCs w:val="28"/>
        </w:rPr>
        <w:t>以下简称《交易规则》</w:t>
      </w:r>
      <w:r>
        <w:rPr>
          <w:rFonts w:ascii="Times New Roman" w:hAnsi="Times New Roman" w:eastAsia="仿宋_GB2312"/>
          <w:sz w:val="28"/>
          <w:szCs w:val="28"/>
        </w:rPr>
        <w:t>）</w:t>
      </w:r>
      <w:r>
        <w:rPr>
          <w:rFonts w:hint="default" w:ascii="Times New Roman" w:hAnsi="Times New Roman" w:eastAsia="仿宋_GB2312"/>
          <w:sz w:val="28"/>
          <w:szCs w:val="28"/>
        </w:rPr>
        <w:t>、《上海证券交易所、中国证券登记结算有限责任公司股票期权试点风险控制管理办法》《上海证券交易所股票期权试点投资者适当性管理指引》《中国证券登记结算有限责任公司关于上海证券交易所股票期权试点结算规则》等，制定本指南，供证券公司开展股票期权经纪业务时参考。本指南如有内容与本所股票期权业务规则不一致，以本所股票期权业务规则为准。</w:t>
      </w:r>
    </w:p>
    <w:p w14:paraId="012375ED">
      <w:pPr>
        <w:ind w:firstLine="560" w:firstLineChars="200"/>
        <w:rPr>
          <w:rFonts w:hint="eastAsia" w:ascii="Times New Roman" w:hAnsi="Times New Roman" w:eastAsia="仿宋_GB2312" w:cs="Times New Roman"/>
          <w:color w:val="auto"/>
          <w:kern w:val="2"/>
          <w:sz w:val="28"/>
          <w:szCs w:val="28"/>
        </w:rPr>
      </w:pPr>
      <w:r>
        <w:rPr>
          <w:rFonts w:hint="eastAsia" w:ascii="Times New Roman" w:hAnsi="Times New Roman" w:eastAsia="仿宋_GB2312" w:cs="Times New Roman"/>
          <w:color w:val="auto"/>
          <w:kern w:val="2"/>
          <w:sz w:val="28"/>
          <w:szCs w:val="28"/>
        </w:rPr>
        <w:t>证券公司与客户之间经纪业务关系以其与客户签订的经纪合同中约定为准，本指南不作为处理相关纠纷的依据。</w:t>
      </w:r>
      <w:r>
        <w:rPr>
          <w:rFonts w:hint="eastAsia" w:ascii="Times New Roman" w:hAnsi="Times New Roman" w:eastAsia="仿宋_GB2312"/>
          <w:sz w:val="28"/>
          <w:szCs w:val="28"/>
        </w:rPr>
        <w:t>本所将根据股票期权业务的进展情况，对本指南进行持续更新和调整。</w:t>
      </w:r>
    </w:p>
    <w:p w14:paraId="0F447057">
      <w:pPr>
        <w:pStyle w:val="95"/>
        <w:ind w:firstLine="560" w:firstLineChars="200"/>
        <w:rPr>
          <w:rFonts w:hint="eastAsia" w:ascii="Times New Roman" w:hAnsi="Times New Roman" w:eastAsia="仿宋_GB2312" w:cs="Times New Roman"/>
          <w:color w:val="auto"/>
          <w:kern w:val="2"/>
          <w:sz w:val="28"/>
          <w:szCs w:val="28"/>
          <w:highlight w:val="none"/>
        </w:rPr>
      </w:pPr>
      <w:r>
        <w:rPr>
          <w:rFonts w:hint="eastAsia" w:ascii="Times New Roman" w:hAnsi="Times New Roman" w:eastAsia="仿宋_GB2312" w:cs="Times New Roman"/>
          <w:color w:val="auto"/>
          <w:kern w:val="2"/>
          <w:sz w:val="28"/>
          <w:szCs w:val="28"/>
          <w:highlight w:val="none"/>
          <w:lang w:eastAsia="zh-CN"/>
        </w:rPr>
        <w:t>本所服务热线：400-8888-400。</w:t>
      </w:r>
    </w:p>
    <w:p w14:paraId="70D0EC81">
      <w:pPr>
        <w:widowControl/>
        <w:jc w:val="left"/>
        <w:rPr>
          <w:rFonts w:ascii="Times New Roman" w:hAnsi="Times New Roman" w:eastAsia="黑体"/>
          <w:b/>
          <w:bCs/>
          <w:sz w:val="32"/>
          <w:szCs w:val="32"/>
        </w:rPr>
      </w:pPr>
      <w:bookmarkStart w:id="15" w:name="_Toc475"/>
      <w:bookmarkStart w:id="16" w:name="_Toc406439132"/>
      <w:bookmarkStart w:id="17" w:name="_Toc452016993"/>
      <w:bookmarkStart w:id="18" w:name="_Toc406438871"/>
      <w:bookmarkStart w:id="19" w:name="_Toc2961"/>
      <w:bookmarkStart w:id="20" w:name="_Toc408749974"/>
      <w:bookmarkStart w:id="21" w:name="_Toc30360"/>
      <w:bookmarkStart w:id="22" w:name="_Toc406436498"/>
      <w:bookmarkStart w:id="23" w:name="_Toc406438947"/>
      <w:bookmarkStart w:id="24" w:name="_Toc23947129"/>
      <w:r>
        <w:rPr>
          <w:rFonts w:ascii="Times New Roman" w:hAnsi="Times New Roman" w:eastAsia="黑体"/>
          <w:sz w:val="32"/>
          <w:szCs w:val="32"/>
        </w:rPr>
        <w:br w:type="page"/>
      </w:r>
    </w:p>
    <w:p w14:paraId="021356F5">
      <w:pPr>
        <w:pStyle w:val="4"/>
        <w:spacing w:line="240" w:lineRule="auto"/>
        <w:jc w:val="center"/>
        <w:rPr>
          <w:rFonts w:hint="default" w:ascii="Times New Roman" w:hAnsi="Times New Roman" w:eastAsia="黑体"/>
          <w:sz w:val="32"/>
          <w:szCs w:val="32"/>
        </w:rPr>
      </w:pPr>
      <w:bookmarkStart w:id="25" w:name="_Toc215740272"/>
      <w:r>
        <w:rPr>
          <w:rFonts w:hint="default" w:ascii="Times New Roman" w:hAnsi="Times New Roman" w:eastAsia="黑体"/>
          <w:kern w:val="2"/>
          <w:sz w:val="32"/>
          <w:szCs w:val="32"/>
        </w:rPr>
        <w:t>第一章 总体要求</w:t>
      </w:r>
      <w:bookmarkEnd w:id="15"/>
      <w:bookmarkEnd w:id="16"/>
      <w:bookmarkEnd w:id="17"/>
      <w:bookmarkEnd w:id="18"/>
      <w:bookmarkEnd w:id="19"/>
      <w:bookmarkEnd w:id="20"/>
      <w:bookmarkEnd w:id="21"/>
      <w:bookmarkEnd w:id="22"/>
      <w:bookmarkEnd w:id="23"/>
      <w:bookmarkEnd w:id="24"/>
      <w:bookmarkEnd w:id="25"/>
    </w:p>
    <w:p w14:paraId="738B62A8">
      <w:pPr>
        <w:spacing w:before="0" w:beforeLines="-2147483648" w:after="0" w:afterLines="-2147483648"/>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应当根据本所股票期权业务相关规则，制定股票期权经纪业务交易、结算、风险控制等内部制度。证券公司应当合理设置期权业务的组织架构，明确期权经纪业务部门和各相关部门、分支机构的职责分工，并设置相关岗位，配备相关人员。</w:t>
      </w:r>
    </w:p>
    <w:p w14:paraId="13F20D20">
      <w:pPr>
        <w:spacing w:line="240" w:lineRule="auto"/>
        <w:ind w:firstLine="560" w:firstLineChars="200"/>
        <w:outlineLvl w:val="1"/>
        <w:rPr>
          <w:rFonts w:ascii="Times New Roman" w:hAnsi="Times New Roman" w:eastAsia="黑体"/>
          <w:sz w:val="28"/>
          <w:szCs w:val="28"/>
        </w:rPr>
      </w:pPr>
      <w:bookmarkStart w:id="26" w:name="_Toc11152"/>
      <w:bookmarkStart w:id="27" w:name="_Toc452016994"/>
      <w:bookmarkStart w:id="28" w:name="_Toc406438872"/>
      <w:bookmarkStart w:id="29" w:name="_Toc26508"/>
      <w:bookmarkStart w:id="30" w:name="_Toc30383"/>
      <w:bookmarkStart w:id="31" w:name="_Toc215740273"/>
      <w:bookmarkStart w:id="32" w:name="_Toc408749975"/>
      <w:bookmarkStart w:id="33" w:name="_Toc23947130"/>
      <w:r>
        <w:rPr>
          <w:rFonts w:hint="eastAsia" w:ascii="Times New Roman" w:hAnsi="Times New Roman" w:eastAsia="黑体"/>
          <w:sz w:val="28"/>
          <w:szCs w:val="28"/>
        </w:rPr>
        <w:t>一、组织架构和职责分工</w:t>
      </w:r>
      <w:bookmarkEnd w:id="26"/>
      <w:bookmarkEnd w:id="27"/>
      <w:bookmarkEnd w:id="28"/>
      <w:bookmarkEnd w:id="29"/>
      <w:bookmarkEnd w:id="30"/>
      <w:bookmarkEnd w:id="31"/>
      <w:bookmarkEnd w:id="32"/>
      <w:bookmarkEnd w:id="33"/>
    </w:p>
    <w:p w14:paraId="41B82C86">
      <w:pPr>
        <w:ind w:firstLine="560" w:firstLineChars="200"/>
        <w:rPr>
          <w:rFonts w:ascii="Times New Roman" w:hAnsi="Times New Roman" w:eastAsia="楷体_GB2312"/>
          <w:b w:val="0"/>
          <w:sz w:val="28"/>
          <w:szCs w:val="28"/>
        </w:rPr>
      </w:pPr>
      <w:bookmarkStart w:id="34" w:name="_Toc406438873"/>
      <w:r>
        <w:rPr>
          <w:rFonts w:hint="default" w:ascii="Times New Roman" w:hAnsi="Times New Roman" w:eastAsia="楷体_GB2312"/>
          <w:b w:val="0"/>
          <w:sz w:val="28"/>
          <w:szCs w:val="28"/>
        </w:rPr>
        <w:t>（一）公司总部</w:t>
      </w:r>
      <w:bookmarkEnd w:id="34"/>
    </w:p>
    <w:p w14:paraId="4B607BFD">
      <w:pPr>
        <w:widowControl w:val="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股票期权经纪业务由公司总部统一集中管理。公司总部应设立独立的股票期权经纪业务部门（一级或二级部门），部门职责包括但不限于业务制度与流程制定、业务统筹规划、运营管理、风险管理、投资者适当性管理、客户关系管理、投资者教育等，并对分支机构开展股票期权业务进行管理和持续督导。</w:t>
      </w:r>
    </w:p>
    <w:p w14:paraId="35220917">
      <w:pPr>
        <w:widowControl w:val="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公司总部其他相关部门应承担与股票期权经纪业务相关的职责，包括但不限于合规管理、风险控制、资金清算、技术系统的开发与维护等。</w:t>
      </w:r>
    </w:p>
    <w:p w14:paraId="2B0450CC">
      <w:pPr>
        <w:widowControl w:val="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证券公司从事股票期权经纪业务的，应当建立健全并有效执行信息隔离制度，与自营、做市、资产管理等其他期权业务进行有效隔离，防止敏感信息的不当流动和使用，严格防范损害客户利益。</w:t>
      </w:r>
    </w:p>
    <w:p w14:paraId="7686B408">
      <w:pPr>
        <w:ind w:firstLine="560" w:firstLineChars="200"/>
        <w:rPr>
          <w:rFonts w:ascii="Times New Roman" w:hAnsi="Times New Roman" w:eastAsia="楷体_GB2312"/>
          <w:b w:val="0"/>
          <w:sz w:val="28"/>
          <w:szCs w:val="28"/>
        </w:rPr>
      </w:pPr>
      <w:bookmarkStart w:id="35" w:name="_Toc406438874"/>
      <w:r>
        <w:rPr>
          <w:rFonts w:hint="default" w:ascii="Times New Roman" w:hAnsi="Times New Roman" w:eastAsia="楷体_GB2312"/>
          <w:b w:val="0"/>
          <w:sz w:val="28"/>
          <w:szCs w:val="28"/>
        </w:rPr>
        <w:t>（二）分支机构</w:t>
      </w:r>
      <w:bookmarkEnd w:id="35"/>
    </w:p>
    <w:p w14:paraId="3850BD49">
      <w:pPr>
        <w:widowControl w:val="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分支机构应在公司授权范围内规范开展股票期权经纪业务，负责本分支机构投资者衍生品相关账户开立与日常管理、信息收集、投资者教育、投诉处理等工作，并协助总部落实本分支机构的投资者适当性管理、档案管理、风险管理等工作。</w:t>
      </w:r>
    </w:p>
    <w:p w14:paraId="4FA93A14">
      <w:pPr>
        <w:spacing w:line="240" w:lineRule="auto"/>
        <w:ind w:firstLine="560" w:firstLineChars="200"/>
        <w:jc w:val="both"/>
        <w:outlineLvl w:val="1"/>
        <w:rPr>
          <w:rFonts w:ascii="Times New Roman" w:hAnsi="Times New Roman" w:eastAsia="黑体"/>
          <w:sz w:val="28"/>
          <w:szCs w:val="28"/>
        </w:rPr>
      </w:pPr>
      <w:bookmarkStart w:id="36" w:name="_Toc27902"/>
      <w:bookmarkStart w:id="37" w:name="_Toc23947131"/>
      <w:bookmarkStart w:id="38" w:name="_Toc406438875"/>
      <w:bookmarkStart w:id="39" w:name="_Toc215740274"/>
      <w:bookmarkStart w:id="40" w:name="_Toc452016995"/>
      <w:bookmarkStart w:id="41" w:name="_Toc7274"/>
      <w:bookmarkStart w:id="42" w:name="_Toc408749976"/>
      <w:bookmarkStart w:id="43" w:name="_Toc4709"/>
      <w:r>
        <w:rPr>
          <w:rFonts w:hint="eastAsia" w:ascii="Times New Roman" w:hAnsi="Times New Roman" w:eastAsia="黑体"/>
          <w:sz w:val="28"/>
          <w:szCs w:val="28"/>
        </w:rPr>
        <w:t>二、岗位设置</w:t>
      </w:r>
      <w:bookmarkEnd w:id="36"/>
      <w:bookmarkEnd w:id="37"/>
      <w:bookmarkEnd w:id="38"/>
      <w:bookmarkEnd w:id="39"/>
      <w:bookmarkEnd w:id="40"/>
      <w:bookmarkEnd w:id="41"/>
      <w:bookmarkEnd w:id="42"/>
      <w:bookmarkEnd w:id="43"/>
    </w:p>
    <w:p w14:paraId="71A8EC0C">
      <w:pPr>
        <w:ind w:firstLine="560" w:firstLineChars="200"/>
        <w:rPr>
          <w:rFonts w:ascii="Times New Roman" w:hAnsi="Times New Roman" w:eastAsia="楷体_GB2312"/>
          <w:b w:val="0"/>
          <w:sz w:val="28"/>
          <w:szCs w:val="28"/>
        </w:rPr>
      </w:pPr>
      <w:bookmarkStart w:id="44" w:name="_Toc406438876"/>
      <w:r>
        <w:rPr>
          <w:rFonts w:hint="default" w:ascii="Times New Roman" w:hAnsi="Times New Roman" w:eastAsia="楷体_GB2312"/>
          <w:b w:val="0"/>
          <w:sz w:val="28"/>
          <w:szCs w:val="28"/>
        </w:rPr>
        <w:t>（一）公司总部</w:t>
      </w:r>
      <w:bookmarkEnd w:id="44"/>
    </w:p>
    <w:p w14:paraId="1D8E21D9">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为确保业务平稳运行，股票期权经纪业务部门建议至少设立以下岗位</w:t>
      </w:r>
      <w:r>
        <w:rPr>
          <w:rFonts w:ascii="Times New Roman" w:hAnsi="Times New Roman" w:eastAsia="仿宋_GB2312"/>
          <w:kern w:val="2"/>
          <w:sz w:val="28"/>
          <w:szCs w:val="28"/>
        </w:rPr>
        <w:t>：</w:t>
      </w:r>
    </w:p>
    <w:p w14:paraId="72BD7172">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1.客户适当性管理岗，主要职责包括投资者适当性综合评估、分级管理、额度核定与调整、持续适当性评估等；</w:t>
      </w:r>
    </w:p>
    <w:p w14:paraId="3ECF4C11">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2.合规与风险管理岗，主要职责包括对公司期权业务合规审查、风险总控管理等；</w:t>
      </w:r>
    </w:p>
    <w:p w14:paraId="18F2EBE9">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3.风险监控岗，主要职责包括盘中交易风险、保证金风险、持仓风险等实时动态监控等；</w:t>
      </w:r>
    </w:p>
    <w:p w14:paraId="1FE1440B">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4.风险处置岗，主要职责包括风险警示与平仓通知、强行平仓、违约处置等；</w:t>
      </w:r>
    </w:p>
    <w:p w14:paraId="5B526195">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5.运行管理岗，主要职责包括业务流程管理、合约管理、参数管理等；</w:t>
      </w:r>
    </w:p>
    <w:p w14:paraId="317A5028">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6.投资者教育岗，主要职责包括统筹、规划、安排全公司及各分支机构的股票期权投资者教育工作；</w:t>
      </w:r>
    </w:p>
    <w:p w14:paraId="3804AA6A">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7.资金管理岗，主要职责包括资金盯市、（发起）资金调度、客户资金流动性分析与管理、客户保证金缺口计算与垫资管理等。</w:t>
      </w:r>
    </w:p>
    <w:p w14:paraId="07650C5D">
      <w:pPr>
        <w:widowControl w:val="0"/>
        <w:spacing w:before="0" w:after="0"/>
        <w:ind w:firstLine="560" w:firstLineChars="200"/>
        <w:jc w:val="both"/>
        <w:rPr>
          <w:rFonts w:ascii="Times New Roman" w:hAnsi="Times New Roman" w:eastAsia="仿宋_GB2312"/>
          <w:sz w:val="28"/>
          <w:szCs w:val="28"/>
        </w:rPr>
      </w:pPr>
      <w:r>
        <w:rPr>
          <w:rFonts w:hint="default" w:ascii="Times New Roman" w:hAnsi="Times New Roman" w:eastAsia="仿宋_GB2312"/>
          <w:sz w:val="28"/>
          <w:szCs w:val="28"/>
        </w:rPr>
        <w:t>对重点岗位如风险监控岗、风险处置岗、运行管理岗等，建立备岗制度。</w:t>
      </w:r>
    </w:p>
    <w:p w14:paraId="1E36EF4D">
      <w:pPr>
        <w:widowControl w:val="0"/>
        <w:spacing w:before="0" w:after="0"/>
        <w:ind w:firstLine="56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总部其他相关部门应就期权经纪业务的风险管理、合规管理、清算与资金管理、技术开发等设立相关岗位。</w:t>
      </w:r>
    </w:p>
    <w:p w14:paraId="711AC3B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股票期权经纪业务部门与总部其他相关部门应明确各岗位的权责关系，保障期权经纪业务有序、平稳开展。</w:t>
      </w:r>
    </w:p>
    <w:p w14:paraId="6984B838">
      <w:pPr>
        <w:ind w:firstLine="560" w:firstLineChars="200"/>
        <w:rPr>
          <w:rFonts w:ascii="Times New Roman" w:hAnsi="Times New Roman" w:eastAsia="楷体_GB2312"/>
          <w:b w:val="0"/>
          <w:sz w:val="28"/>
          <w:szCs w:val="28"/>
        </w:rPr>
      </w:pPr>
      <w:bookmarkStart w:id="45" w:name="_Toc406438877"/>
      <w:r>
        <w:rPr>
          <w:rFonts w:hint="default" w:ascii="Times New Roman" w:hAnsi="Times New Roman" w:eastAsia="楷体_GB2312"/>
          <w:b w:val="0"/>
          <w:sz w:val="28"/>
          <w:szCs w:val="28"/>
        </w:rPr>
        <w:t>（二）分支机构</w:t>
      </w:r>
      <w:bookmarkEnd w:id="45"/>
    </w:p>
    <w:p w14:paraId="228FD57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分支机构</w:t>
      </w:r>
      <w:r>
        <w:rPr>
          <w:rFonts w:hint="default" w:ascii="Times New Roman" w:hAnsi="Times New Roman" w:eastAsia="仿宋_GB2312" w:cs="Times New Roman"/>
          <w:kern w:val="2"/>
          <w:sz w:val="28"/>
          <w:szCs w:val="28"/>
        </w:rPr>
        <w:t>应指定期权经纪业务负责人，可根据需要设立股票期权开户岗、</w:t>
      </w:r>
      <w:r>
        <w:rPr>
          <w:rFonts w:hint="default" w:ascii="Times New Roman" w:hAnsi="Times New Roman" w:eastAsia="仿宋_GB2312"/>
          <w:sz w:val="28"/>
          <w:szCs w:val="28"/>
        </w:rPr>
        <w:t>运营岗、合规与风险管理岗、</w:t>
      </w:r>
      <w:r>
        <w:rPr>
          <w:rFonts w:hint="default" w:ascii="Times New Roman" w:hAnsi="Times New Roman" w:eastAsia="仿宋_GB2312" w:cs="Times New Roman"/>
          <w:kern w:val="2"/>
          <w:sz w:val="28"/>
          <w:szCs w:val="28"/>
        </w:rPr>
        <w:t>投资者教育培训岗、客户回访岗、客户投诉处理岗</w:t>
      </w:r>
      <w:r>
        <w:rPr>
          <w:rFonts w:hint="default" w:ascii="Times New Roman" w:hAnsi="Times New Roman" w:eastAsia="仿宋_GB2312"/>
          <w:sz w:val="28"/>
          <w:szCs w:val="28"/>
        </w:rPr>
        <w:t>等岗位。</w:t>
      </w:r>
      <w:r>
        <w:rPr>
          <w:rFonts w:hint="default" w:ascii="Times New Roman" w:hAnsi="Times New Roman" w:eastAsia="仿宋_GB2312" w:cs="Times New Roman"/>
          <w:kern w:val="2"/>
          <w:sz w:val="28"/>
          <w:szCs w:val="28"/>
        </w:rPr>
        <w:t>开户岗和运营岗等岗位建议建立备岗机制。</w:t>
      </w:r>
      <w:r>
        <w:rPr>
          <w:rFonts w:hint="default" w:ascii="Times New Roman" w:hAnsi="Times New Roman" w:eastAsia="仿宋_GB2312"/>
          <w:sz w:val="28"/>
          <w:szCs w:val="28"/>
        </w:rPr>
        <w:t>分支机构可根据实际情况合理设置兼岗。</w:t>
      </w:r>
    </w:p>
    <w:p w14:paraId="2B0939AD">
      <w:pPr>
        <w:ind w:firstLine="560" w:firstLineChars="200"/>
        <w:jc w:val="both"/>
        <w:outlineLvl w:val="1"/>
        <w:rPr>
          <w:rFonts w:ascii="Times New Roman" w:hAnsi="Times New Roman" w:eastAsia="黑体"/>
          <w:sz w:val="28"/>
          <w:szCs w:val="28"/>
        </w:rPr>
      </w:pPr>
      <w:bookmarkStart w:id="46" w:name="_Toc23267"/>
      <w:bookmarkStart w:id="47" w:name="_Toc452016996"/>
      <w:bookmarkStart w:id="48" w:name="_Toc23947132"/>
      <w:bookmarkStart w:id="49" w:name="_Toc406438878"/>
      <w:bookmarkStart w:id="50" w:name="_Toc7344"/>
      <w:bookmarkStart w:id="51" w:name="_Toc408749977"/>
      <w:bookmarkStart w:id="52" w:name="_Toc19531"/>
      <w:bookmarkStart w:id="53" w:name="_Toc215740275"/>
      <w:r>
        <w:rPr>
          <w:rFonts w:hint="eastAsia" w:ascii="Times New Roman" w:hAnsi="Times New Roman" w:eastAsia="黑体"/>
          <w:sz w:val="28"/>
          <w:szCs w:val="28"/>
        </w:rPr>
        <w:t>三、制度与流程</w:t>
      </w:r>
      <w:bookmarkEnd w:id="46"/>
      <w:bookmarkEnd w:id="47"/>
      <w:bookmarkEnd w:id="48"/>
      <w:bookmarkEnd w:id="49"/>
      <w:bookmarkEnd w:id="50"/>
      <w:bookmarkEnd w:id="51"/>
      <w:bookmarkEnd w:id="52"/>
      <w:bookmarkEnd w:id="53"/>
    </w:p>
    <w:p w14:paraId="0826F23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制定健全的业务制度和完备的业务流程，涵盖股票期权经纪业务管理、交易管理、客户适当性评估以及分级管理、结算、风险管理、内部控制制度、投资者教育、合规管理、分支机构相关业务管理、分支机构相关内部控制等各个环节。</w:t>
      </w:r>
    </w:p>
    <w:p w14:paraId="26C52BE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证券公司应制定股票期权经纪业务应急预案，以应对业务中的突发事件，保障业务平稳开展。</w:t>
      </w:r>
    </w:p>
    <w:p w14:paraId="7B6F012E">
      <w:pPr>
        <w:ind w:firstLine="560" w:firstLineChars="200"/>
        <w:jc w:val="both"/>
        <w:outlineLvl w:val="1"/>
        <w:rPr>
          <w:rFonts w:ascii="Times New Roman" w:hAnsi="Times New Roman" w:eastAsia="黑体"/>
          <w:sz w:val="28"/>
          <w:szCs w:val="28"/>
        </w:rPr>
      </w:pPr>
      <w:bookmarkStart w:id="54" w:name="_Toc23947133"/>
      <w:bookmarkStart w:id="55" w:name="_Toc215740276"/>
      <w:bookmarkStart w:id="56" w:name="_Toc452016997"/>
      <w:r>
        <w:rPr>
          <w:rFonts w:hint="eastAsia" w:ascii="Times New Roman" w:hAnsi="Times New Roman" w:eastAsia="黑体"/>
          <w:sz w:val="28"/>
          <w:szCs w:val="28"/>
        </w:rPr>
        <w:t>四、</w:t>
      </w:r>
      <w:bookmarkStart w:id="57" w:name="内控管理"/>
      <w:r>
        <w:rPr>
          <w:rFonts w:hint="eastAsia" w:ascii="Times New Roman" w:hAnsi="Times New Roman" w:eastAsia="黑体"/>
          <w:sz w:val="28"/>
          <w:szCs w:val="28"/>
        </w:rPr>
        <w:t>内控管理</w:t>
      </w:r>
      <w:bookmarkEnd w:id="54"/>
      <w:bookmarkEnd w:id="55"/>
      <w:bookmarkEnd w:id="56"/>
      <w:bookmarkEnd w:id="57"/>
    </w:p>
    <w:p w14:paraId="51EC48F0">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（一）内控管理制度</w:t>
      </w:r>
    </w:p>
    <w:p w14:paraId="6F8F569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须建立防范利益冲突相关的合规制度，确保股票期权业务在信息、人员、系统、资金和账户等方面实现隔离，股票期权与现货业务、技术系统实现隔离，股票期权经纪业务和股票期权自营业务实现隔离，在业务开展中须防止敏感信息的不当流动，建立跨墙管理制度。同时，应防范不同利益主体之间的利益冲突。</w:t>
      </w:r>
    </w:p>
    <w:p w14:paraId="04B1913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1.隔离制度</w:t>
      </w:r>
    </w:p>
    <w:p w14:paraId="3095521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从事期权的经纪业务部门、自营部门应相互隔离，使用独立、固定且相对封闭的办公场所，经纪业务使用的交易单元与自营业务使用的交易单元应相互独立，不得联通或者混用；股票期权经纪业务、技术系统与现货经纪业务相互隔离，股票期权业务和风控系统与办公系统和外部互联网有效隔离。</w:t>
      </w:r>
    </w:p>
    <w:p w14:paraId="685FE2E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2.利益冲突防范制度</w:t>
      </w:r>
    </w:p>
    <w:p w14:paraId="202E39C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公司应当针对股票期权的特点及监管要求，对开展股票期权业务所导致的利益冲突进行识别、评估、防范和管理，公司合规部应当在日常合规管理中保持对股票期权业务利益冲突的持续关注。</w:t>
      </w:r>
    </w:p>
    <w:p w14:paraId="7AC5DC8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3.合规检查制度</w:t>
      </w:r>
    </w:p>
    <w:p w14:paraId="55FB5F0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公司应当安排例行检查和专项检查，并根据情况采取现场检查和非现场检查两种方式结合进行，内容包括相关制度和流程是否完备、各项工作开展是否符合合规要求、员工行为是否合规等。</w:t>
      </w:r>
    </w:p>
    <w:p w14:paraId="505833A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4.违规处罚</w:t>
      </w:r>
    </w:p>
    <w:p w14:paraId="034A4F4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公司应当进行合规考核与问责，对于严重的违规情况，应当给予相应的处罚。</w:t>
      </w:r>
    </w:p>
    <w:p w14:paraId="2BFE814B">
      <w:pPr>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（二）</w:t>
      </w:r>
      <w:r>
        <w:rPr>
          <w:rFonts w:hint="eastAsia" w:ascii="Times New Roman" w:hAnsi="Times New Roman" w:eastAsia="楷体_GB2312"/>
          <w:sz w:val="28"/>
          <w:szCs w:val="28"/>
        </w:rPr>
        <w:t>内控制度原则</w:t>
      </w:r>
    </w:p>
    <w:p w14:paraId="22A8B4B0">
      <w:pPr>
        <w:spacing w:before="0" w:beforeLines="-2147483648" w:after="0" w:afterLines="-2147483648"/>
        <w:ind w:firstLine="560" w:firstLineChars="200"/>
        <w:rPr>
          <w:rFonts w:ascii="Times New Roman" w:hAnsi="Times New Roman" w:eastAsia="仿宋_GB2312"/>
          <w:b w:val="0"/>
          <w:bCs w:val="0"/>
          <w:sz w:val="28"/>
          <w:szCs w:val="28"/>
        </w:rPr>
      </w:pPr>
      <w:r>
        <w:rPr>
          <w:rFonts w:hint="default" w:ascii="Times New Roman" w:hAnsi="Times New Roman" w:eastAsia="仿宋_GB2312"/>
          <w:b w:val="0"/>
          <w:bCs w:val="0"/>
          <w:sz w:val="28"/>
          <w:szCs w:val="28"/>
        </w:rPr>
        <w:t>证券公司制定期权业务的内控制度，应遵循如下原则：</w:t>
      </w:r>
    </w:p>
    <w:p w14:paraId="58EC14E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1.建立开展期权业务的决策、授权和业务执行机制；</w:t>
      </w:r>
    </w:p>
    <w:p w14:paraId="680C020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2.确保前、中、后台相互分离、相互制约，各主要环节分别由不同的部门和岗位负责，不得进行业务间的混合操作；</w:t>
      </w:r>
    </w:p>
    <w:p w14:paraId="5BB0656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3.建立事前防范、事中监控、事后处置的风险管理体系；</w:t>
      </w:r>
    </w:p>
    <w:p w14:paraId="77D906B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4.对各流程运作设定控制点，做好流程内部控制的管理制度，具体流程明确到部门、岗位和时间点。</w:t>
      </w:r>
    </w:p>
    <w:p w14:paraId="5E1B1D05">
      <w:pPr>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（三）</w:t>
      </w:r>
      <w:r>
        <w:rPr>
          <w:rFonts w:hint="eastAsia" w:ascii="Times New Roman" w:hAnsi="Times New Roman" w:eastAsia="楷体_GB2312"/>
          <w:sz w:val="28"/>
          <w:szCs w:val="28"/>
        </w:rPr>
        <w:t>内控制度主要内容</w:t>
      </w:r>
    </w:p>
    <w:p w14:paraId="47E362D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b w:val="0"/>
          <w:bCs w:val="0"/>
          <w:sz w:val="28"/>
          <w:szCs w:val="28"/>
        </w:rPr>
        <w:t>证券公司制定期权业务的内控制度，至少包括以下内容：</w:t>
      </w:r>
    </w:p>
    <w:p w14:paraId="2DC73A9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1.交易系统的内部控制，如交易委托管理和交易系统管理；</w:t>
      </w:r>
    </w:p>
    <w:p w14:paraId="65F8DE3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风险监控、风险处置与应急管理的内部控制，要点包括保证金标准的制定与调整、盘中交易风险实时动态监控、强行平仓及监控、结算后对客户账户风险的分析预测及风险客户的平仓通知、违约处理等，以及对于各环节中可能出现的各种技术故障、通信故障，应制订可行的应急措施与方案等；</w:t>
      </w:r>
    </w:p>
    <w:p w14:paraId="54DEEAF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3.客户选择与资信记录，制定包括投资者准入和分级、买入限额、教育与市场营销管理等制度；</w:t>
      </w:r>
    </w:p>
    <w:p w14:paraId="4361731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客户档案与客户投诉的内部控制，制定包括对于客户档案管理，开销户业务的要点，如资格认定、合同签署、账户申请、销户等，妥善保管合同和印章，以及现场投诉、专线投诉、信件投诉和监管机关转发投诉的受理和处理流程，对于投诉事项须定期检查和回访；</w:t>
      </w:r>
    </w:p>
    <w:p w14:paraId="29F5D2E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5.客户回访及客户服务的内部控制，客户服务人员可以对追加保证金进程跟踪、强行平仓通知知晓确认、账户发生重大或异常交易、资讯产品使用效果等进行跟踪回访，并建立客户服务记录的支持系统；</w:t>
      </w:r>
    </w:p>
    <w:p w14:paraId="0FBCCFE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6.行权、清算与结算过程的内部控制，要点包括参数配置与调整，行权处理、实物交收、结算数据接收、清算、汇总与复核等；</w:t>
      </w:r>
    </w:p>
    <w:p w14:paraId="0B3947E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7.财务、审计的内部控制；</w:t>
      </w:r>
    </w:p>
    <w:p w14:paraId="3908E7B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8.信息系统的内部控制，建立交易、结算、财务数据的备份制度；</w:t>
      </w:r>
    </w:p>
    <w:p w14:paraId="797B4976">
      <w:pPr>
        <w:spacing w:before="0" w:beforeLines="-2147483648" w:after="0" w:afterLines="-2147483648"/>
        <w:ind w:firstLine="560" w:firstLineChars="200"/>
        <w:rPr>
          <w:rFonts w:ascii="Times New Roman" w:hAnsi="Times New Roman" w:eastAsia="仿宋_GB2312"/>
          <w:b w:val="0"/>
          <w:sz w:val="28"/>
          <w:szCs w:val="28"/>
        </w:rPr>
      </w:pPr>
      <w:r>
        <w:rPr>
          <w:rFonts w:hint="default" w:ascii="Times New Roman" w:hAnsi="Times New Roman" w:eastAsia="仿宋_GB2312"/>
          <w:sz w:val="28"/>
          <w:szCs w:val="28"/>
        </w:rPr>
        <w:t>9.信息报送的内部控制，应按照规定及时向本所报送客户限购额度、客户分级、衍生品业务风险管理部负责人与联系人相关信息等资料，做好保证金封闭管理的相关数据报送，应保证报送的数据真实、准确、完整、及时。</w:t>
      </w:r>
    </w:p>
    <w:p w14:paraId="4BB9028D">
      <w:pPr>
        <w:spacing w:before="0" w:beforeLines="-2147483648" w:after="0" w:afterLines="-2147483648"/>
        <w:ind w:firstLine="560" w:firstLineChars="200"/>
        <w:rPr>
          <w:rFonts w:ascii="Times New Roman" w:hAnsi="Times New Roman" w:eastAsia="楷体_GB2312"/>
          <w:b w:val="0"/>
          <w:bCs w:val="0"/>
          <w:sz w:val="28"/>
          <w:szCs w:val="28"/>
          <w:highlight w:val="none"/>
        </w:rPr>
      </w:pPr>
      <w:bookmarkStart w:id="58" w:name="_Toc24652"/>
      <w:bookmarkStart w:id="59" w:name="_Toc28974"/>
      <w:bookmarkStart w:id="60" w:name="_Toc452016998"/>
      <w:bookmarkStart w:id="61" w:name="_Toc18360"/>
      <w:r>
        <w:rPr>
          <w:rFonts w:hint="default" w:ascii="Times New Roman" w:hAnsi="Times New Roman" w:eastAsia="楷体_GB2312"/>
          <w:b w:val="0"/>
          <w:bCs w:val="0"/>
          <w:sz w:val="28"/>
          <w:szCs w:val="28"/>
          <w:highlight w:val="none"/>
        </w:rPr>
        <w:t>（四）风险管理岗位联系方式报备</w:t>
      </w:r>
      <w:bookmarkEnd w:id="58"/>
      <w:bookmarkEnd w:id="59"/>
      <w:bookmarkEnd w:id="60"/>
      <w:bookmarkEnd w:id="61"/>
    </w:p>
    <w:p w14:paraId="6248C094">
      <w:pPr>
        <w:spacing w:before="0" w:beforeLines="-2147483648" w:after="0" w:afterLines="-2147483648"/>
        <w:ind w:firstLine="560" w:firstLineChars="200"/>
        <w:jc w:val="both"/>
        <w:rPr>
          <w:rFonts w:ascii="Times New Roman" w:hAnsi="Times New Roman" w:eastAsia="仿宋_GB2312"/>
          <w:sz w:val="28"/>
          <w:szCs w:val="28"/>
        </w:rPr>
      </w:pPr>
      <w:r>
        <w:rPr>
          <w:rFonts w:hint="default" w:ascii="Times New Roman" w:hAnsi="Times New Roman" w:eastAsia="仿宋_GB2312"/>
          <w:sz w:val="28"/>
          <w:szCs w:val="28"/>
        </w:rPr>
        <w:t>证券公司应向本所报备以下人员联系方式（包括联系电话、手机、邮箱、传真等）：期权业务异常情况应急负责人、期权业务风险管理负责人、期权经纪业务风险管理联系人（如有经纪业务）、期权自营业务风险管理联系人（如有自营业务）、期权做市业务风险管理联系人（如有做市业务）。上述人员或联系方式如有变更，</w:t>
      </w:r>
      <w:r>
        <w:rPr>
          <w:rFonts w:hint="default" w:ascii="Times New Roman" w:hAnsi="Times New Roman" w:eastAsia="仿宋_GB2312"/>
          <w:sz w:val="28"/>
          <w:szCs w:val="28"/>
          <w:highlight w:val="none"/>
        </w:rPr>
        <w:t>应于工作日15:00-17:00通过一网通办会员机构门户及时向本所更新。</w:t>
      </w:r>
    </w:p>
    <w:p w14:paraId="63EC7470">
      <w:pPr>
        <w:widowControl/>
        <w:jc w:val="left"/>
        <w:rPr>
          <w:rFonts w:ascii="Times New Roman" w:hAnsi="Times New Roman" w:eastAsia="黑体"/>
          <w:b/>
          <w:bCs/>
          <w:sz w:val="32"/>
          <w:szCs w:val="32"/>
        </w:rPr>
      </w:pPr>
      <w:bookmarkStart w:id="62" w:name="_Toc30855"/>
      <w:bookmarkStart w:id="63" w:name="_Toc406438879"/>
      <w:bookmarkStart w:id="64" w:name="_Toc452016999"/>
      <w:bookmarkStart w:id="65" w:name="_Toc23947134"/>
      <w:bookmarkStart w:id="66" w:name="_Toc27030"/>
      <w:bookmarkStart w:id="67" w:name="_Toc406439133"/>
      <w:bookmarkStart w:id="68" w:name="_Toc22285"/>
      <w:bookmarkStart w:id="69" w:name="_Toc408749978"/>
      <w:bookmarkStart w:id="70" w:name="_Toc406436499"/>
      <w:bookmarkStart w:id="71" w:name="_Toc406438948"/>
      <w:r>
        <w:rPr>
          <w:rFonts w:ascii="Times New Roman" w:hAnsi="Times New Roman" w:eastAsia="黑体"/>
          <w:sz w:val="32"/>
          <w:szCs w:val="32"/>
        </w:rPr>
        <w:br w:type="page"/>
      </w:r>
    </w:p>
    <w:p w14:paraId="67903EF1">
      <w:pPr>
        <w:pStyle w:val="4"/>
        <w:spacing w:line="240" w:lineRule="auto"/>
        <w:jc w:val="center"/>
        <w:rPr>
          <w:rFonts w:hint="default" w:ascii="Times New Roman" w:hAnsi="Times New Roman" w:eastAsia="黑体"/>
          <w:kern w:val="2"/>
          <w:sz w:val="32"/>
          <w:szCs w:val="32"/>
        </w:rPr>
      </w:pPr>
      <w:bookmarkStart w:id="72" w:name="_Toc215740277"/>
      <w:r>
        <w:rPr>
          <w:rFonts w:hint="default" w:ascii="Times New Roman" w:hAnsi="Times New Roman" w:eastAsia="黑体"/>
          <w:kern w:val="2"/>
          <w:sz w:val="32"/>
          <w:szCs w:val="32"/>
        </w:rPr>
        <w:t>第二章 股票期权经纪业务交易权限申请</w:t>
      </w:r>
      <w:bookmarkEnd w:id="62"/>
      <w:bookmarkEnd w:id="63"/>
      <w:bookmarkEnd w:id="64"/>
      <w:bookmarkEnd w:id="65"/>
      <w:bookmarkEnd w:id="66"/>
      <w:bookmarkEnd w:id="67"/>
      <w:bookmarkEnd w:id="68"/>
      <w:bookmarkEnd w:id="69"/>
      <w:bookmarkEnd w:id="70"/>
      <w:bookmarkEnd w:id="71"/>
      <w:bookmarkEnd w:id="72"/>
    </w:p>
    <w:p w14:paraId="3840EA6C">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满足《证券期货经营机构参与股票期权交易试点指引》、《交易规则》相关要求的证券公司可以向本所申请成为股票期权交易参与人。</w:t>
      </w:r>
    </w:p>
    <w:p w14:paraId="503B2D9B">
      <w:pPr>
        <w:ind w:firstLine="560" w:firstLineChars="200"/>
        <w:jc w:val="both"/>
        <w:outlineLvl w:val="1"/>
        <w:rPr>
          <w:rFonts w:ascii="Times New Roman" w:hAnsi="Times New Roman" w:eastAsia="黑体"/>
          <w:sz w:val="28"/>
          <w:szCs w:val="28"/>
        </w:rPr>
      </w:pPr>
      <w:bookmarkStart w:id="73" w:name="_Toc452017000"/>
      <w:bookmarkStart w:id="74" w:name="_Toc408749979"/>
      <w:bookmarkStart w:id="75" w:name="_Toc215740278"/>
      <w:bookmarkStart w:id="76" w:name="_Toc23947135"/>
      <w:bookmarkStart w:id="77" w:name="_Toc13708"/>
      <w:bookmarkStart w:id="78" w:name="_Toc22793"/>
      <w:bookmarkStart w:id="79" w:name="_Toc4383"/>
      <w:bookmarkStart w:id="80" w:name="_Toc406438881"/>
      <w:r>
        <w:rPr>
          <w:rFonts w:hint="eastAsia" w:ascii="Times New Roman" w:hAnsi="Times New Roman" w:eastAsia="黑体"/>
          <w:sz w:val="28"/>
          <w:szCs w:val="28"/>
        </w:rPr>
        <w:t>一、申请材料</w:t>
      </w:r>
      <w:bookmarkEnd w:id="73"/>
      <w:bookmarkEnd w:id="74"/>
      <w:bookmarkEnd w:id="75"/>
      <w:bookmarkEnd w:id="76"/>
      <w:bookmarkEnd w:id="77"/>
      <w:bookmarkEnd w:id="78"/>
      <w:bookmarkEnd w:id="79"/>
      <w:bookmarkEnd w:id="80"/>
    </w:p>
    <w:p w14:paraId="342DEEC6">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申请从事股票期权经纪业务的证券公司应向本所提交以下材料：</w:t>
      </w:r>
    </w:p>
    <w:p w14:paraId="3CFC3491">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股票期权经纪业务申请书（法定代表人签字并加盖公章）；</w:t>
      </w:r>
    </w:p>
    <w:p w14:paraId="3CD9C210">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股票期权经纪业务就绪自查承诺书（分管股票期权经纪业务的高级管理人员在业务就绪自查承诺书上签字，加盖公章）；</w:t>
      </w:r>
    </w:p>
    <w:p w14:paraId="36EB8BA0">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股东会或董事会关于开展股票期权经纪业务的决议文件；</w:t>
      </w:r>
    </w:p>
    <w:p w14:paraId="435FF6D3">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股票期权经纪业务方案、内部风险控制与管理制度、投资者适当性管理制度文本等相关材料；</w:t>
      </w:r>
    </w:p>
    <w:p w14:paraId="1D57E429">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hint="default" w:ascii="Times New Roman" w:hAnsi="Times New Roman" w:eastAsia="仿宋_GB2312"/>
          <w:sz w:val="28"/>
          <w:szCs w:val="28"/>
        </w:rPr>
        <w:t>负责股票期权经纪业务的高级管理人员和主要业务人员的名册、资质证明文件（包括</w:t>
      </w:r>
      <w:r>
        <w:rPr>
          <w:rFonts w:hint="eastAsia" w:ascii="Times New Roman" w:hAnsi="Times New Roman" w:eastAsia="仿宋_GB2312"/>
          <w:sz w:val="28"/>
          <w:szCs w:val="28"/>
          <w:lang w:val="en-US" w:eastAsia="zh-CN"/>
        </w:rPr>
        <w:t>经中国证监会核准或备案的</w:t>
      </w:r>
      <w:r>
        <w:rPr>
          <w:rFonts w:hint="default" w:ascii="Times New Roman" w:hAnsi="Times New Roman" w:eastAsia="仿宋_GB2312"/>
          <w:sz w:val="28"/>
          <w:szCs w:val="28"/>
        </w:rPr>
        <w:t>高管任职证明、</w:t>
      </w:r>
      <w:r>
        <w:rPr>
          <w:rFonts w:hint="eastAsia" w:ascii="Times New Roman" w:hAnsi="Times New Roman" w:eastAsia="仿宋_GB2312"/>
          <w:sz w:val="28"/>
          <w:szCs w:val="28"/>
          <w:lang w:val="en-US" w:eastAsia="zh-CN"/>
        </w:rPr>
        <w:t>证券、期货从业人员行业协会登记情况</w:t>
      </w:r>
      <w:r>
        <w:rPr>
          <w:rFonts w:hint="default" w:ascii="Times New Roman" w:hAnsi="Times New Roman" w:eastAsia="仿宋_GB2312"/>
          <w:sz w:val="28"/>
          <w:szCs w:val="28"/>
        </w:rPr>
        <w:t>等）及联系方式。其中主要业务人员包括但不限于股票期权经纪业务部门相关人员、其他部门与期权业务密切相关的人员等（经纪业务开展过程中如有人员变动，应及时向交易所报备，报备邮箱地址：optionbc@sse.com.cn）；</w:t>
      </w:r>
    </w:p>
    <w:p w14:paraId="71BB8DF5">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hint="default" w:ascii="Times New Roman" w:hAnsi="Times New Roman" w:eastAsia="仿宋_GB2312"/>
          <w:sz w:val="28"/>
          <w:szCs w:val="28"/>
        </w:rPr>
        <w:t>股票期权经纪业务全成本（包括与期权直接或间接相关的可变成本与固定成本）测算报告及股票期权合约每张收费计划；</w:t>
      </w:r>
    </w:p>
    <w:p w14:paraId="16674CF7">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7.</w:t>
      </w:r>
      <w:r>
        <w:rPr>
          <w:rFonts w:hint="default" w:ascii="Times New Roman" w:hAnsi="Times New Roman" w:eastAsia="仿宋_GB2312"/>
          <w:sz w:val="28"/>
          <w:szCs w:val="28"/>
        </w:rPr>
        <w:t>本所要求提交的其他材料。</w:t>
      </w:r>
    </w:p>
    <w:p w14:paraId="76F13429">
      <w:pPr>
        <w:ind w:firstLine="560" w:firstLineChars="200"/>
        <w:jc w:val="both"/>
        <w:outlineLvl w:val="1"/>
        <w:rPr>
          <w:rFonts w:ascii="Times New Roman" w:hAnsi="Times New Roman" w:eastAsia="黑体"/>
          <w:sz w:val="28"/>
          <w:szCs w:val="28"/>
        </w:rPr>
      </w:pPr>
      <w:bookmarkStart w:id="81" w:name="_Toc11791"/>
      <w:bookmarkStart w:id="82" w:name="_Toc23947136"/>
      <w:bookmarkStart w:id="83" w:name="_Toc452017001"/>
      <w:bookmarkStart w:id="84" w:name="_Toc406438882"/>
      <w:bookmarkStart w:id="85" w:name="_Toc215740279"/>
      <w:bookmarkStart w:id="86" w:name="_Toc408749980"/>
      <w:bookmarkStart w:id="87" w:name="_Toc9739"/>
      <w:bookmarkStart w:id="88" w:name="_Toc4539"/>
      <w:r>
        <w:rPr>
          <w:rFonts w:hint="eastAsia" w:ascii="Times New Roman" w:hAnsi="Times New Roman" w:eastAsia="黑体"/>
          <w:sz w:val="28"/>
          <w:szCs w:val="28"/>
        </w:rPr>
        <w:t>二、申请流程</w:t>
      </w:r>
      <w:bookmarkEnd w:id="81"/>
      <w:bookmarkEnd w:id="82"/>
      <w:bookmarkEnd w:id="83"/>
      <w:bookmarkEnd w:id="84"/>
      <w:bookmarkEnd w:id="85"/>
      <w:bookmarkEnd w:id="86"/>
      <w:bookmarkEnd w:id="87"/>
      <w:bookmarkEnd w:id="88"/>
    </w:p>
    <w:p w14:paraId="4231A84B">
      <w:pPr>
        <w:ind w:firstLine="560" w:firstLineChars="200"/>
        <w:rPr>
          <w:rFonts w:hint="eastAsia" w:ascii="Times New Roman" w:hAnsi="Times New Roman" w:eastAsia="仿宋_GB2312"/>
          <w:sz w:val="28"/>
          <w:szCs w:val="28"/>
          <w:lang w:eastAsia="zh-CN"/>
        </w:rPr>
      </w:pPr>
      <w:r>
        <w:rPr>
          <w:rFonts w:hint="eastAsia" w:ascii="Times New Roman" w:hAnsi="Times New Roman" w:eastAsia="仿宋_GB2312"/>
          <w:sz w:val="28"/>
          <w:szCs w:val="28"/>
          <w:lang w:val="en-US" w:eastAsia="zh-CN"/>
        </w:rPr>
        <w:t xml:space="preserve">1. </w:t>
      </w:r>
      <w:r>
        <w:rPr>
          <w:rFonts w:hint="eastAsia" w:ascii="Times New Roman" w:hAnsi="Times New Roman" w:eastAsia="仿宋_GB2312"/>
          <w:sz w:val="28"/>
          <w:szCs w:val="28"/>
          <w:lang w:eastAsia="zh-CN"/>
        </w:rPr>
        <w:t>证券公司在完成相关技术准备后，首先应采取邮件方式向本所创新产品部提交加盖公章的股票期权业务申请书（接收</w:t>
      </w:r>
      <w:r>
        <w:rPr>
          <w:rFonts w:hint="eastAsia" w:ascii="仿宋_GB2312" w:eastAsia="仿宋_GB2312"/>
          <w:sz w:val="28"/>
          <w:szCs w:val="28"/>
          <w:highlight w:val="none"/>
          <w:lang w:eastAsia="zh-CN"/>
        </w:rPr>
        <w:t>邮箱为：</w:t>
      </w:r>
      <w:r>
        <w:rPr>
          <w:rFonts w:hint="default" w:ascii="Times New Roman" w:hAnsi="Times New Roman" w:eastAsia="仿宋_GB2312"/>
          <w:sz w:val="28"/>
          <w:szCs w:val="28"/>
          <w:highlight w:val="none"/>
        </w:rPr>
        <w:t>optionbc@sse.com.cn</w:t>
      </w:r>
      <w:r>
        <w:rPr>
          <w:rFonts w:hint="eastAsia" w:ascii="Times New Roman" w:hAnsi="Times New Roman" w:eastAsia="仿宋_GB2312"/>
          <w:sz w:val="28"/>
          <w:szCs w:val="28"/>
          <w:lang w:eastAsia="zh-CN"/>
        </w:rPr>
        <w:t>）。股票期权业务申请书应包括但不限于公司基本情况简介、申请股票期权业务类型、业务准备情况、技术及业务联系人信息以及申请股票期权全天候测试的申请。</w:t>
      </w:r>
    </w:p>
    <w:p w14:paraId="063D4B2C">
      <w:pPr>
        <w:ind w:firstLine="560" w:firstLineChars="200"/>
        <w:jc w:val="left"/>
        <w:rPr>
          <w:rFonts w:hint="eastAsia" w:ascii="仿宋_GB2312" w:eastAsia="仿宋_GB2312"/>
          <w:sz w:val="28"/>
          <w:szCs w:val="28"/>
          <w:lang w:val="en-US" w:eastAsia="zh-CN"/>
        </w:rPr>
      </w:pPr>
      <w:r>
        <w:rPr>
          <w:rFonts w:hint="eastAsia" w:ascii="Times New Roman" w:hAnsi="Times New Roman" w:eastAsia="仿宋_GB2312"/>
          <w:sz w:val="28"/>
          <w:szCs w:val="28"/>
          <w:lang w:val="en-US" w:eastAsia="zh-CN"/>
        </w:rPr>
        <w:t xml:space="preserve">2. </w:t>
      </w:r>
      <w:r>
        <w:rPr>
          <w:rFonts w:hint="eastAsia" w:ascii="Times New Roman" w:hAnsi="Times New Roman" w:eastAsia="仿宋_GB2312"/>
          <w:sz w:val="28"/>
          <w:szCs w:val="28"/>
          <w:highlight w:val="none"/>
          <w:lang w:val="en-US" w:eastAsia="zh-CN"/>
        </w:rPr>
        <w:t>通过全天候测试后，证券公司应以邮件方式向本所创新产品部</w:t>
      </w:r>
      <w:r>
        <w:rPr>
          <w:rFonts w:hint="eastAsia" w:ascii="仿宋_GB2312" w:eastAsia="仿宋_GB2312"/>
          <w:sz w:val="28"/>
          <w:szCs w:val="28"/>
          <w:highlight w:val="none"/>
        </w:rPr>
        <w:t>申</w:t>
      </w:r>
      <w:r>
        <w:rPr>
          <w:rFonts w:hint="eastAsia" w:ascii="仿宋_GB2312" w:eastAsia="仿宋_GB2312"/>
          <w:sz w:val="28"/>
          <w:szCs w:val="28"/>
        </w:rPr>
        <w:t>请股票期权全真模拟交易环境的测试</w:t>
      </w:r>
      <w:r>
        <w:rPr>
          <w:rFonts w:hint="eastAsia" w:ascii="Times New Roman" w:hAnsi="Times New Roman" w:eastAsia="仿宋_GB2312"/>
          <w:sz w:val="28"/>
          <w:szCs w:val="28"/>
          <w:lang w:eastAsia="zh-CN"/>
        </w:rPr>
        <w:t>（接收</w:t>
      </w:r>
      <w:r>
        <w:rPr>
          <w:rFonts w:hint="eastAsia" w:ascii="仿宋_GB2312" w:eastAsia="仿宋_GB2312"/>
          <w:sz w:val="28"/>
          <w:szCs w:val="28"/>
          <w:highlight w:val="none"/>
          <w:lang w:eastAsia="zh-CN"/>
        </w:rPr>
        <w:t>邮箱为：</w:t>
      </w:r>
      <w:r>
        <w:rPr>
          <w:rFonts w:hint="default" w:ascii="Times New Roman" w:hAnsi="Times New Roman" w:eastAsia="仿宋_GB2312"/>
          <w:sz w:val="28"/>
          <w:szCs w:val="28"/>
          <w:highlight w:val="none"/>
        </w:rPr>
        <w:t>optionbc@sse.com.cn</w:t>
      </w:r>
      <w:r>
        <w:rPr>
          <w:rFonts w:hint="eastAsia" w:ascii="Times New Roman" w:hAnsi="Times New Roman" w:eastAsia="仿宋_GB2312"/>
          <w:sz w:val="28"/>
          <w:szCs w:val="28"/>
          <w:lang w:eastAsia="zh-CN"/>
        </w:rPr>
        <w:t>）</w:t>
      </w:r>
      <w:r>
        <w:rPr>
          <w:rFonts w:hint="eastAsia" w:ascii="仿宋_GB2312" w:eastAsia="仿宋_GB2312"/>
          <w:sz w:val="28"/>
          <w:szCs w:val="28"/>
          <w:lang w:eastAsia="zh-CN"/>
        </w:rPr>
        <w:t>，需要</w:t>
      </w:r>
      <w:r>
        <w:rPr>
          <w:rFonts w:hint="eastAsia" w:ascii="仿宋_GB2312" w:eastAsia="仿宋_GB2312"/>
          <w:sz w:val="28"/>
          <w:szCs w:val="28"/>
        </w:rPr>
        <w:t>提供材料</w:t>
      </w:r>
      <w:r>
        <w:rPr>
          <w:rFonts w:hint="eastAsia" w:ascii="仿宋_GB2312" w:eastAsia="仿宋_GB2312"/>
          <w:sz w:val="28"/>
          <w:szCs w:val="28"/>
          <w:lang w:eastAsia="zh-CN"/>
        </w:rPr>
        <w:t>如下：</w:t>
      </w:r>
    </w:p>
    <w:p w14:paraId="0A707086">
      <w:pPr>
        <w:ind w:firstLine="600"/>
        <w:jc w:val="left"/>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highlight w:val="none"/>
        </w:rPr>
        <w:t>公司正式发文的</w:t>
      </w:r>
      <w:r>
        <w:rPr>
          <w:rFonts w:hint="eastAsia" w:ascii="仿宋_GB2312" w:eastAsia="仿宋_GB2312"/>
          <w:sz w:val="28"/>
          <w:szCs w:val="28"/>
        </w:rPr>
        <w:t>全真模拟交易环境测试申请书</w:t>
      </w:r>
      <w:r>
        <w:rPr>
          <w:rFonts w:hint="eastAsia" w:ascii="仿宋_GB2312" w:eastAsia="仿宋_GB2312"/>
          <w:sz w:val="28"/>
          <w:szCs w:val="28"/>
          <w:lang w:eastAsia="zh-CN"/>
        </w:rPr>
        <w:t>；</w:t>
      </w:r>
    </w:p>
    <w:p w14:paraId="72901E66">
      <w:pPr>
        <w:ind w:firstLine="600"/>
        <w:jc w:val="left"/>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股票期权业务相关的制度、流程、</w:t>
      </w:r>
      <w:r>
        <w:rPr>
          <w:rFonts w:ascii="仿宋_GB2312" w:eastAsia="仿宋_GB2312"/>
          <w:sz w:val="28"/>
          <w:szCs w:val="28"/>
        </w:rPr>
        <w:t>方案等</w:t>
      </w:r>
      <w:r>
        <w:rPr>
          <w:rFonts w:hint="eastAsia" w:ascii="仿宋_GB2312" w:eastAsia="仿宋_GB2312"/>
          <w:sz w:val="28"/>
          <w:szCs w:val="28"/>
        </w:rPr>
        <w:t>文件</w:t>
      </w:r>
      <w:r>
        <w:rPr>
          <w:rFonts w:hint="eastAsia" w:ascii="仿宋_GB2312" w:eastAsia="仿宋_GB2312"/>
          <w:sz w:val="28"/>
          <w:szCs w:val="28"/>
          <w:lang w:eastAsia="zh-CN"/>
        </w:rPr>
        <w:t>；</w:t>
      </w:r>
    </w:p>
    <w:p w14:paraId="64A44C72">
      <w:pPr>
        <w:ind w:firstLine="600"/>
        <w:jc w:val="left"/>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本所要求的其他材料。</w:t>
      </w:r>
    </w:p>
    <w:p w14:paraId="6829DBD0">
      <w:pPr>
        <w:ind w:firstLine="560" w:firstLineChars="200"/>
        <w:rPr>
          <w:rFonts w:hint="eastAsia" w:ascii="仿宋_GB2312" w:eastAsia="仿宋_GB2312"/>
          <w:sz w:val="28"/>
          <w:szCs w:val="28"/>
          <w:lang w:eastAsia="zh-CN"/>
        </w:rPr>
      </w:pPr>
      <w:r>
        <w:rPr>
          <w:rFonts w:hint="eastAsia" w:ascii="Times New Roman" w:hAnsi="Times New Roman" w:eastAsia="仿宋_GB2312"/>
          <w:sz w:val="28"/>
          <w:szCs w:val="28"/>
          <w:lang w:val="en-US" w:eastAsia="zh-CN"/>
        </w:rPr>
        <w:t>3. 通过</w:t>
      </w:r>
      <w:r>
        <w:rPr>
          <w:rFonts w:hint="eastAsia" w:ascii="仿宋_GB2312" w:eastAsia="仿宋_GB2312"/>
          <w:sz w:val="28"/>
          <w:szCs w:val="28"/>
          <w:lang w:val="en-US" w:eastAsia="zh-CN"/>
        </w:rPr>
        <w:t>全真模拟</w:t>
      </w:r>
      <w:r>
        <w:rPr>
          <w:rFonts w:hint="eastAsia" w:ascii="仿宋_GB2312" w:eastAsia="仿宋_GB2312"/>
          <w:sz w:val="28"/>
          <w:szCs w:val="28"/>
        </w:rPr>
        <w:t>交易环境测试</w:t>
      </w:r>
      <w:r>
        <w:rPr>
          <w:rFonts w:hint="eastAsia" w:ascii="仿宋_GB2312" w:eastAsia="仿宋_GB2312"/>
          <w:sz w:val="28"/>
          <w:szCs w:val="28"/>
          <w:lang w:eastAsia="zh-CN"/>
        </w:rPr>
        <w:t>后，证券公司应向本所会员管理部申请提交股票期权经纪业务的专项检查（专项检查底稿见附件一）。申请需要提供材料如下：</w:t>
      </w:r>
    </w:p>
    <w:p w14:paraId="56E31B0A">
      <w:pPr>
        <w:ind w:firstLine="600"/>
        <w:jc w:val="left"/>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highlight w:val="none"/>
        </w:rPr>
        <w:t>公司正式发文的</w:t>
      </w:r>
      <w:r>
        <w:rPr>
          <w:rFonts w:hint="eastAsia" w:ascii="仿宋_GB2312" w:eastAsia="仿宋_GB2312"/>
          <w:sz w:val="28"/>
          <w:szCs w:val="28"/>
        </w:rPr>
        <w:t>股票期权经纪业务现场检查申请书</w:t>
      </w:r>
      <w:r>
        <w:rPr>
          <w:rFonts w:hint="eastAsia" w:ascii="仿宋_GB2312" w:eastAsia="仿宋_GB2312"/>
          <w:sz w:val="28"/>
          <w:szCs w:val="28"/>
          <w:lang w:eastAsia="zh-CN"/>
        </w:rPr>
        <w:t>；</w:t>
      </w:r>
    </w:p>
    <w:p w14:paraId="6B2A920E">
      <w:pPr>
        <w:ind w:firstLine="600"/>
        <w:jc w:val="left"/>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股票期权业务相关的制度流程文件</w:t>
      </w:r>
      <w:r>
        <w:rPr>
          <w:rFonts w:hint="eastAsia" w:ascii="仿宋_GB2312" w:eastAsia="仿宋_GB2312"/>
          <w:sz w:val="28"/>
          <w:szCs w:val="28"/>
          <w:lang w:eastAsia="zh-CN"/>
        </w:rPr>
        <w:t>；</w:t>
      </w:r>
    </w:p>
    <w:p w14:paraId="18B08683">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（3）</w:t>
      </w:r>
      <w:r>
        <w:rPr>
          <w:rFonts w:hint="eastAsia" w:ascii="仿宋_GB2312" w:eastAsia="仿宋_GB2312"/>
          <w:sz w:val="28"/>
          <w:szCs w:val="28"/>
        </w:rPr>
        <w:t>本所要求的其他材料。</w:t>
      </w:r>
      <w:r>
        <w:rPr>
          <w:rFonts w:hint="eastAsia" w:ascii="仿宋_GB2312" w:eastAsia="仿宋_GB2312"/>
          <w:sz w:val="28"/>
          <w:szCs w:val="28"/>
          <w:lang w:val="en-US" w:eastAsia="zh-CN"/>
        </w:rPr>
        <w:tab/>
      </w:r>
    </w:p>
    <w:p w14:paraId="46B19C1C">
      <w:pPr>
        <w:ind w:firstLine="560" w:firstLineChars="200"/>
        <w:rPr>
          <w:rFonts w:hint="default" w:ascii="Times New Roman" w:hAnsi="Times New Roman" w:eastAsia="仿宋_GB2312"/>
          <w:sz w:val="28"/>
          <w:szCs w:val="28"/>
        </w:rPr>
      </w:pPr>
      <w:r>
        <w:rPr>
          <w:rFonts w:hint="eastAsia" w:ascii="Times New Roman" w:hAnsi="Times New Roman" w:eastAsia="仿宋_GB2312"/>
          <w:sz w:val="28"/>
          <w:szCs w:val="28"/>
          <w:lang w:val="en-US" w:eastAsia="zh-CN"/>
        </w:rPr>
        <w:t xml:space="preserve">4. </w:t>
      </w:r>
      <w:r>
        <w:rPr>
          <w:rFonts w:hint="eastAsia" w:ascii="Times New Roman" w:hAnsi="Times New Roman" w:eastAsia="仿宋_GB2312"/>
          <w:sz w:val="28"/>
          <w:szCs w:val="28"/>
          <w:lang w:eastAsia="zh-CN"/>
        </w:rPr>
        <w:t>证券公司通过本所组织的相关测试和专项检查，</w:t>
      </w:r>
      <w:r>
        <w:rPr>
          <w:rFonts w:hint="default" w:ascii="Times New Roman" w:hAnsi="Times New Roman" w:eastAsia="仿宋_GB2312"/>
          <w:sz w:val="28"/>
          <w:szCs w:val="28"/>
        </w:rPr>
        <w:t>并在中国结算完成股票期权经纪业务结算参与人申请、相关账户开立、清算路径开通等工作后</w:t>
      </w:r>
      <w:r>
        <w:rPr>
          <w:rFonts w:hint="eastAsia" w:ascii="Times New Roman" w:hAnsi="Times New Roman" w:eastAsia="仿宋_GB2312"/>
          <w:sz w:val="28"/>
          <w:szCs w:val="28"/>
          <w:lang w:eastAsia="zh-CN"/>
        </w:rPr>
        <w:t>，可向本所申请成为股票期权交易参与人，开通期权业务权限。</w:t>
      </w:r>
      <w:r>
        <w:rPr>
          <w:rFonts w:hint="default" w:ascii="Times New Roman" w:hAnsi="Times New Roman" w:eastAsia="仿宋_GB2312"/>
          <w:sz w:val="28"/>
          <w:szCs w:val="28"/>
        </w:rPr>
        <w:t>证券公司应以书面形式通过一网通办-会员机构</w:t>
      </w:r>
      <w:r>
        <w:rPr>
          <w:rFonts w:hint="eastAsia" w:ascii="Times New Roman" w:hAnsi="Times New Roman" w:eastAsia="仿宋_GB2312"/>
          <w:sz w:val="28"/>
          <w:szCs w:val="28"/>
          <w:lang w:eastAsia="zh-CN"/>
        </w:rPr>
        <w:t>门户</w:t>
      </w:r>
      <w:r>
        <w:rPr>
          <w:rFonts w:hint="default" w:ascii="Times New Roman" w:hAnsi="Times New Roman" w:eastAsia="仿宋_GB2312"/>
          <w:sz w:val="28"/>
          <w:szCs w:val="28"/>
        </w:rPr>
        <w:t>-期权业务栏目提交</w:t>
      </w:r>
      <w:r>
        <w:rPr>
          <w:rFonts w:hint="eastAsia" w:ascii="Times New Roman" w:hAnsi="Times New Roman" w:eastAsia="仿宋_GB2312"/>
          <w:sz w:val="28"/>
          <w:szCs w:val="28"/>
          <w:lang w:eastAsia="zh-CN"/>
        </w:rPr>
        <w:t>申请材料</w:t>
      </w:r>
      <w:r>
        <w:rPr>
          <w:rFonts w:hint="default" w:ascii="Times New Roman" w:hAnsi="Times New Roman" w:eastAsia="仿宋_GB2312"/>
          <w:sz w:val="28"/>
          <w:szCs w:val="28"/>
        </w:rPr>
        <w:t>。证券公司符合申请条件且申请材料齐备的，本所自收到申请材料之日起1</w:t>
      </w:r>
      <w:r>
        <w:rPr>
          <w:rFonts w:hint="eastAsia" w:ascii="Times New Roman" w:hAnsi="Times New Roman" w:eastAsia="仿宋_GB2312"/>
          <w:sz w:val="28"/>
          <w:szCs w:val="28"/>
          <w:lang w:val="en-US" w:eastAsia="zh-CN"/>
        </w:rPr>
        <w:t>5</w:t>
      </w:r>
      <w:r>
        <w:rPr>
          <w:rFonts w:hint="default" w:ascii="Times New Roman" w:hAnsi="Times New Roman" w:eastAsia="仿宋_GB2312"/>
          <w:sz w:val="28"/>
          <w:szCs w:val="28"/>
        </w:rPr>
        <w:t>个交易日内作出是否同意的决定。同意的，向其发出业务确认通知。对于需要补充申请材料的申请人，本所将通知申请人及时补充材料，补充材料的时间不包含在上述1</w:t>
      </w:r>
      <w:r>
        <w:rPr>
          <w:rFonts w:hint="eastAsia" w:ascii="Times New Roman" w:hAnsi="Times New Roman" w:eastAsia="仿宋_GB2312"/>
          <w:sz w:val="28"/>
          <w:szCs w:val="28"/>
          <w:lang w:val="en-US" w:eastAsia="zh-CN"/>
        </w:rPr>
        <w:t>5</w:t>
      </w:r>
      <w:r>
        <w:rPr>
          <w:rFonts w:hint="default" w:ascii="Times New Roman" w:hAnsi="Times New Roman" w:eastAsia="仿宋_GB2312"/>
          <w:sz w:val="28"/>
          <w:szCs w:val="28"/>
        </w:rPr>
        <w:t>个交易日内。</w:t>
      </w:r>
    </w:p>
    <w:p w14:paraId="3C7C4997">
      <w:pPr>
        <w:ind w:firstLine="560" w:firstLineChars="200"/>
        <w:jc w:val="both"/>
        <w:outlineLvl w:val="1"/>
        <w:rPr>
          <w:rFonts w:hint="eastAsia" w:ascii="Times New Roman" w:hAnsi="Times New Roman" w:eastAsia="黑体"/>
          <w:sz w:val="28"/>
          <w:szCs w:val="28"/>
        </w:rPr>
      </w:pPr>
      <w:bookmarkStart w:id="89" w:name="_Toc32753"/>
      <w:bookmarkStart w:id="90" w:name="_Toc215740280"/>
      <w:bookmarkStart w:id="91" w:name="_Toc29656"/>
      <w:bookmarkStart w:id="92" w:name="_Toc2874"/>
      <w:bookmarkStart w:id="93" w:name="_Toc406438883"/>
      <w:bookmarkStart w:id="94" w:name="_Toc452017002"/>
      <w:bookmarkStart w:id="95" w:name="_Toc408749981"/>
      <w:bookmarkStart w:id="96" w:name="_Toc23947137"/>
      <w:r>
        <w:rPr>
          <w:rFonts w:hint="eastAsia" w:ascii="Times New Roman" w:hAnsi="Times New Roman" w:eastAsia="黑体"/>
          <w:sz w:val="28"/>
          <w:szCs w:val="28"/>
        </w:rPr>
        <w:t>三、</w:t>
      </w:r>
      <w:bookmarkEnd w:id="89"/>
      <w:bookmarkEnd w:id="90"/>
      <w:bookmarkEnd w:id="91"/>
      <w:bookmarkEnd w:id="92"/>
      <w:bookmarkEnd w:id="93"/>
      <w:bookmarkEnd w:id="94"/>
      <w:bookmarkEnd w:id="95"/>
      <w:bookmarkEnd w:id="96"/>
      <w:r>
        <w:rPr>
          <w:rFonts w:hint="eastAsia" w:ascii="Times New Roman" w:hAnsi="Times New Roman" w:eastAsia="黑体"/>
          <w:sz w:val="28"/>
          <w:szCs w:val="28"/>
          <w:lang w:eastAsia="zh-CN"/>
        </w:rPr>
        <w:t>信息报备</w:t>
      </w:r>
    </w:p>
    <w:p w14:paraId="02C6ACDA">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证券公司在正式开展期权业务前，应做好如下报备工作：</w:t>
      </w:r>
    </w:p>
    <w:p w14:paraId="07735297">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highlight w:val="none"/>
        </w:rPr>
        <w:t>1.</w:t>
      </w:r>
      <w:r>
        <w:rPr>
          <w:rFonts w:hint="default" w:ascii="Times New Roman" w:hAnsi="Times New Roman" w:eastAsia="仿宋_GB2312"/>
          <w:sz w:val="28"/>
          <w:szCs w:val="28"/>
          <w:highlight w:val="none"/>
        </w:rPr>
        <w:t>证券公司将其股票期权经纪业务相关账户（客户</w:t>
      </w:r>
      <w:r>
        <w:rPr>
          <w:rFonts w:hint="default" w:ascii="Times New Roman" w:hAnsi="Times New Roman" w:eastAsia="仿宋_GB2312"/>
          <w:sz w:val="28"/>
          <w:szCs w:val="28"/>
        </w:rPr>
        <w:t>股票期权保证金账户、客户衍生品处置证券账户、</w:t>
      </w:r>
      <w:r>
        <w:rPr>
          <w:rFonts w:hint="default" w:ascii="Times New Roman" w:hAnsi="Times New Roman" w:eastAsia="仿宋_GB2312"/>
          <w:color w:val="auto"/>
          <w:sz w:val="28"/>
          <w:szCs w:val="28"/>
        </w:rPr>
        <w:t>客户衍生品结算资金汇总账户</w:t>
      </w:r>
      <w:r>
        <w:rPr>
          <w:rFonts w:hint="default" w:ascii="Times New Roman" w:hAnsi="Times New Roman" w:eastAsia="仿宋_GB2312"/>
          <w:sz w:val="28"/>
          <w:szCs w:val="28"/>
        </w:rPr>
        <w:t>）在开立后三个交易日内通过公司邮箱向本所创新产品部报备，</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HYPERLINK "mailto:报备接收邮箱为optionbc@sse.com.cn"</w:instrText>
      </w:r>
      <w:r>
        <w:rPr>
          <w:rFonts w:ascii="Times New Roman" w:hAnsi="Times New Roman" w:eastAsia="仿宋_GB2312"/>
          <w:sz w:val="28"/>
          <w:szCs w:val="28"/>
        </w:rPr>
        <w:fldChar w:fldCharType="separate"/>
      </w:r>
      <w:r>
        <w:rPr>
          <w:rFonts w:hint="default" w:ascii="Times New Roman" w:hAnsi="Times New Roman" w:eastAsia="仿宋_GB2312"/>
          <w:sz w:val="28"/>
          <w:szCs w:val="28"/>
        </w:rPr>
        <w:t>报备接收邮箱为optionbc@sse.com.cn</w:t>
      </w:r>
      <w:r>
        <w:rPr>
          <w:rFonts w:ascii="Times New Roman" w:hAnsi="Times New Roman" w:eastAsia="仿宋_GB2312"/>
          <w:sz w:val="28"/>
          <w:szCs w:val="28"/>
        </w:rPr>
        <w:fldChar w:fldCharType="end"/>
      </w:r>
      <w:r>
        <w:rPr>
          <w:rFonts w:hint="default" w:ascii="Times New Roman" w:hAnsi="Times New Roman" w:eastAsia="仿宋_GB2312"/>
          <w:sz w:val="28"/>
          <w:szCs w:val="28"/>
        </w:rPr>
        <w:t>。</w:t>
      </w:r>
    </w:p>
    <w:p w14:paraId="0752EE57">
      <w:pPr>
        <w:ind w:firstLine="560" w:firstLineChars="200"/>
        <w:rPr>
          <w:rFonts w:ascii="Times New Roman" w:hAnsi="Times New Roman" w:eastAsia="仿宋_GB2312"/>
          <w:sz w:val="28"/>
          <w:szCs w:val="28"/>
          <w:highlight w:val="none"/>
        </w:rPr>
      </w:pPr>
      <w:r>
        <w:rPr>
          <w:rFonts w:hint="eastAsia" w:ascii="Times New Roman" w:hAnsi="Times New Roman" w:eastAsia="仿宋_GB2312"/>
          <w:sz w:val="28"/>
          <w:szCs w:val="28"/>
        </w:rPr>
        <w:t>2.</w:t>
      </w:r>
      <w:r>
        <w:rPr>
          <w:rFonts w:hint="default" w:ascii="Times New Roman" w:hAnsi="Times New Roman" w:eastAsia="仿宋_GB2312"/>
          <w:sz w:val="28"/>
          <w:szCs w:val="28"/>
        </w:rPr>
        <w:t>证券公司通过一网通办-会员机构门户-期权业务-期权强平和日终数据报备路径完成交易单元信息的报备</w:t>
      </w:r>
      <w:r>
        <w:rPr>
          <w:rFonts w:hint="default" w:ascii="Times New Roman" w:hAnsi="Times New Roman" w:eastAsia="仿宋_GB2312"/>
          <w:sz w:val="28"/>
          <w:szCs w:val="28"/>
          <w:highlight w:val="none"/>
        </w:rPr>
        <w:t>。</w:t>
      </w:r>
    </w:p>
    <w:p w14:paraId="2C17A93E">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本所为证券公司开通股票期权交易参与人权限。</w:t>
      </w:r>
    </w:p>
    <w:p w14:paraId="2E9ADF75">
      <w:pPr>
        <w:numPr>
          <w:ilvl w:val="0"/>
          <w:numId w:val="0"/>
        </w:numPr>
        <w:ind w:firstLine="560" w:firstLineChars="200"/>
        <w:outlineLvl w:val="1"/>
        <w:rPr>
          <w:rFonts w:ascii="Times New Roman" w:hAnsi="Times New Roman" w:eastAsia="黑体"/>
          <w:sz w:val="28"/>
          <w:szCs w:val="28"/>
        </w:rPr>
      </w:pPr>
      <w:bookmarkStart w:id="97" w:name="_Toc215740281"/>
      <w:r>
        <w:rPr>
          <w:rFonts w:hint="eastAsia" w:ascii="Times New Roman" w:hAnsi="Times New Roman" w:eastAsia="黑体"/>
          <w:b w:val="0"/>
          <w:sz w:val="28"/>
          <w:szCs w:val="28"/>
        </w:rPr>
        <w:t>四、</w:t>
      </w:r>
      <w:r>
        <w:rPr>
          <w:rFonts w:hint="default" w:ascii="Times New Roman" w:hAnsi="Times New Roman" w:eastAsia="黑体"/>
          <w:sz w:val="28"/>
          <w:szCs w:val="28"/>
        </w:rPr>
        <w:t>开通</w:t>
      </w:r>
      <w:r>
        <w:rPr>
          <w:rFonts w:hint="default" w:ascii="Times New Roman" w:hAnsi="Times New Roman" w:eastAsia="黑体"/>
          <w:sz w:val="28"/>
          <w:szCs w:val="28"/>
          <w:lang w:eastAsia="zh-CN"/>
        </w:rPr>
        <w:t>一网通办会员机构门户</w:t>
      </w:r>
      <w:r>
        <w:rPr>
          <w:rFonts w:hint="default" w:ascii="Times New Roman" w:hAnsi="Times New Roman" w:eastAsia="黑体"/>
          <w:sz w:val="28"/>
          <w:szCs w:val="28"/>
          <w:highlight w:val="none"/>
          <w:lang w:eastAsia="zh-CN"/>
        </w:rPr>
        <w:t>（</w:t>
      </w:r>
      <w:r>
        <w:rPr>
          <w:rFonts w:hint="default" w:ascii="Times New Roman" w:hAnsi="Times New Roman" w:eastAsia="黑体"/>
          <w:sz w:val="28"/>
          <w:szCs w:val="28"/>
          <w:highlight w:val="none"/>
          <w:lang w:val="en-US" w:eastAsia="zh-CN"/>
        </w:rPr>
        <w:t>交易参与人业务</w:t>
      </w:r>
      <w:r>
        <w:rPr>
          <w:rFonts w:hint="default" w:ascii="Times New Roman" w:hAnsi="Times New Roman" w:eastAsia="黑体"/>
          <w:sz w:val="28"/>
          <w:szCs w:val="28"/>
          <w:highlight w:val="none"/>
          <w:lang w:eastAsia="zh-CN"/>
        </w:rPr>
        <w:t>）</w:t>
      </w:r>
      <w:r>
        <w:rPr>
          <w:rFonts w:hint="default" w:ascii="Times New Roman" w:hAnsi="Times New Roman" w:eastAsia="黑体"/>
          <w:sz w:val="28"/>
          <w:szCs w:val="28"/>
        </w:rPr>
        <w:t>使用权限</w:t>
      </w:r>
      <w:bookmarkEnd w:id="97"/>
    </w:p>
    <w:p w14:paraId="1BEDEC1F">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一网通办会员机构门户（交易参与人业务）是各期权经营机构递交各类材料和信息传递的重要通道和沟通平台，其功能包含经纪套保持仓限额申请、持仓限额报送、程序</w:t>
      </w:r>
      <w:r>
        <w:rPr>
          <w:rFonts w:hint="eastAsia" w:ascii="Times New Roman" w:hAnsi="Times New Roman" w:eastAsia="仿宋_GB2312"/>
          <w:sz w:val="28"/>
          <w:szCs w:val="28"/>
          <w:lang w:val="en-US" w:eastAsia="zh-CN"/>
        </w:rPr>
        <w:t>化</w:t>
      </w:r>
      <w:r>
        <w:rPr>
          <w:rFonts w:hint="default" w:ascii="Times New Roman" w:hAnsi="Times New Roman" w:eastAsia="仿宋_GB2312"/>
          <w:sz w:val="28"/>
          <w:szCs w:val="28"/>
        </w:rPr>
        <w:t>交易报</w:t>
      </w:r>
      <w:r>
        <w:rPr>
          <w:rFonts w:hint="eastAsia" w:ascii="Times New Roman" w:hAnsi="Times New Roman" w:eastAsia="仿宋_GB2312"/>
          <w:sz w:val="28"/>
          <w:szCs w:val="28"/>
          <w:lang w:val="en-US" w:eastAsia="zh-CN"/>
        </w:rPr>
        <w:t>告</w:t>
      </w:r>
      <w:r>
        <w:rPr>
          <w:rFonts w:hint="default" w:ascii="Times New Roman" w:hAnsi="Times New Roman" w:eastAsia="仿宋_GB2312"/>
          <w:sz w:val="28"/>
          <w:szCs w:val="28"/>
        </w:rPr>
        <w:t>、发布公告、发送通知等。</w:t>
      </w:r>
      <w:r>
        <w:rPr>
          <w:rFonts w:hint="eastAsia" w:ascii="仿宋_GB2312" w:eastAsia="仿宋_GB2312"/>
          <w:color w:val="000000"/>
          <w:sz w:val="28"/>
          <w:szCs w:val="28"/>
          <w:highlight w:val="none"/>
          <w:lang w:val="en-US" w:eastAsia="zh-CN"/>
        </w:rPr>
        <w:t>证券</w:t>
      </w:r>
      <w:r>
        <w:rPr>
          <w:rFonts w:hint="eastAsia" w:ascii="仿宋_GB2312" w:eastAsia="仿宋_GB2312"/>
          <w:color w:val="000000"/>
          <w:sz w:val="28"/>
          <w:szCs w:val="28"/>
          <w:highlight w:val="none"/>
          <w:lang w:eastAsia="zh-CN"/>
        </w:rPr>
        <w:t>公司需申请专用数字证书方式开通一网通办会员机构门户（</w:t>
      </w:r>
      <w:r>
        <w:rPr>
          <w:rFonts w:hint="eastAsia" w:ascii="仿宋_GB2312" w:eastAsia="仿宋_GB2312"/>
          <w:color w:val="000000"/>
          <w:sz w:val="28"/>
          <w:szCs w:val="28"/>
          <w:highlight w:val="none"/>
          <w:lang w:val="en-US" w:eastAsia="zh-CN"/>
        </w:rPr>
        <w:t>交易参与人业务</w:t>
      </w:r>
      <w:r>
        <w:rPr>
          <w:rFonts w:hint="eastAsia" w:ascii="仿宋_GB2312" w:eastAsia="仿宋_GB2312"/>
          <w:color w:val="000000"/>
          <w:sz w:val="28"/>
          <w:szCs w:val="28"/>
          <w:highlight w:val="none"/>
          <w:lang w:eastAsia="zh-CN"/>
        </w:rPr>
        <w:t>）使用权限，申请专用数字证书的程序如下：</w:t>
      </w:r>
    </w:p>
    <w:p w14:paraId="4C7A51A2">
      <w:pPr>
        <w:ind w:firstLine="560" w:firstLineChars="200"/>
        <w:rPr>
          <w:rFonts w:hint="eastAsia" w:ascii="仿宋_GB2312" w:eastAsia="仿宋_GB2312"/>
          <w:color w:val="000000"/>
          <w:sz w:val="28"/>
          <w:szCs w:val="28"/>
          <w:highlight w:val="none"/>
        </w:rPr>
      </w:pPr>
      <w:r>
        <w:rPr>
          <w:rFonts w:hint="default" w:ascii="Times New Roman" w:hAnsi="Times New Roman" w:eastAsia="仿宋_GB2312"/>
          <w:sz w:val="28"/>
          <w:szCs w:val="28"/>
        </w:rPr>
        <w:t>证券公司可在本所网站技术服务专区的CA证书服务阅读相关申请流程，通过CA在线业务系统(https://cnsca.sse.com.cn/)</w:t>
      </w:r>
      <w:r>
        <w:rPr>
          <w:rFonts w:hint="eastAsia" w:ascii="仿宋_GB2312" w:eastAsia="仿宋_GB2312"/>
          <w:color w:val="000000"/>
          <w:sz w:val="28"/>
          <w:szCs w:val="28"/>
          <w:highlight w:val="none"/>
          <w:lang w:val="en-US" w:eastAsia="zh-CN"/>
        </w:rPr>
        <w:t>-我的申请-选择证书类型“业务管理系统平台</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lang w:val="en-US" w:eastAsia="zh-CN"/>
        </w:rPr>
        <w:t>交易参与人模块（期权）”</w:t>
      </w:r>
      <w:r>
        <w:rPr>
          <w:rFonts w:hint="eastAsia" w:ascii="仿宋_GB2312" w:eastAsia="仿宋_GB2312"/>
          <w:color w:val="000000"/>
          <w:sz w:val="28"/>
          <w:szCs w:val="28"/>
          <w:highlight w:val="none"/>
        </w:rPr>
        <w:t>发起申请，按</w:t>
      </w:r>
      <w:r>
        <w:rPr>
          <w:rFonts w:hint="eastAsia" w:ascii="仿宋_GB2312" w:eastAsia="仿宋_GB2312"/>
          <w:color w:val="000000"/>
          <w:sz w:val="28"/>
          <w:szCs w:val="28"/>
          <w:highlight w:val="none"/>
          <w:lang w:eastAsia="zh-CN"/>
        </w:rPr>
        <w:t>页面</w:t>
      </w:r>
      <w:r>
        <w:rPr>
          <w:rFonts w:hint="eastAsia" w:ascii="仿宋_GB2312" w:eastAsia="仿宋_GB2312"/>
          <w:color w:val="000000"/>
          <w:sz w:val="28"/>
          <w:szCs w:val="28"/>
          <w:highlight w:val="none"/>
        </w:rPr>
        <w:t>要求填报提交申请材料包括《上海证券交易所业务管理系统平台-交易参与人模块（期权）使用责任书》、《CnSCA数字证书申请表》、《CnSCA数字证书申请责任书》、授权</w:t>
      </w:r>
      <w:r>
        <w:rPr>
          <w:rFonts w:hint="eastAsia" w:ascii="仿宋_GB2312" w:eastAsia="仿宋_GB2312"/>
          <w:color w:val="000000"/>
          <w:sz w:val="28"/>
          <w:szCs w:val="28"/>
          <w:highlight w:val="none"/>
          <w:lang w:eastAsia="zh-CN"/>
        </w:rPr>
        <w:t>证明等</w:t>
      </w:r>
      <w:r>
        <w:rPr>
          <w:rFonts w:hint="eastAsia" w:ascii="仿宋_GB2312" w:eastAsia="仿宋_GB2312"/>
          <w:color w:val="000000"/>
          <w:sz w:val="28"/>
          <w:szCs w:val="28"/>
          <w:highlight w:val="none"/>
        </w:rPr>
        <w:t>。</w:t>
      </w:r>
    </w:p>
    <w:p w14:paraId="02674B00">
      <w:pPr>
        <w:ind w:firstLine="560" w:firstLineChars="200"/>
        <w:jc w:val="left"/>
        <w:rPr>
          <w:highlight w:val="none"/>
        </w:rPr>
      </w:pPr>
      <w:r>
        <w:rPr>
          <w:rFonts w:hint="eastAsia" w:ascii="仿宋_GB2312" w:eastAsia="仿宋_GB2312"/>
          <w:color w:val="000000"/>
          <w:sz w:val="28"/>
          <w:szCs w:val="28"/>
          <w:highlight w:val="none"/>
        </w:rPr>
        <w:t>注册用户口令登录提交</w:t>
      </w:r>
      <w:r>
        <w:rPr>
          <w:rFonts w:hint="eastAsia" w:ascii="仿宋_GB2312" w:eastAsia="仿宋_GB2312"/>
          <w:color w:val="000000"/>
          <w:sz w:val="28"/>
          <w:szCs w:val="28"/>
          <w:highlight w:val="none"/>
          <w:lang w:eastAsia="zh-CN"/>
        </w:rPr>
        <w:t>的证书</w:t>
      </w:r>
      <w:r>
        <w:rPr>
          <w:rFonts w:hint="eastAsia" w:ascii="仿宋_GB2312" w:eastAsia="仿宋_GB2312"/>
          <w:color w:val="000000"/>
          <w:sz w:val="28"/>
          <w:szCs w:val="28"/>
          <w:highlight w:val="none"/>
        </w:rPr>
        <w:t>申请，需将上述</w:t>
      </w:r>
      <w:r>
        <w:rPr>
          <w:rFonts w:hint="eastAsia" w:ascii="仿宋_GB2312" w:eastAsia="仿宋_GB2312"/>
          <w:color w:val="000000"/>
          <w:sz w:val="28"/>
          <w:szCs w:val="28"/>
          <w:highlight w:val="none"/>
          <w:lang w:eastAsia="zh-CN"/>
        </w:rPr>
        <w:t>证书</w:t>
      </w:r>
      <w:r>
        <w:rPr>
          <w:rFonts w:hint="eastAsia" w:ascii="仿宋_GB2312" w:eastAsia="仿宋_GB2312"/>
          <w:color w:val="000000"/>
          <w:sz w:val="28"/>
          <w:szCs w:val="28"/>
          <w:highlight w:val="none"/>
        </w:rPr>
        <w:t>申请材料原件寄送至本所信息公司CA中心。</w:t>
      </w:r>
      <w:r>
        <w:rPr>
          <w:rFonts w:hint="eastAsia" w:ascii="仿宋_GB2312" w:eastAsia="仿宋_GB2312"/>
          <w:color w:val="000000"/>
          <w:sz w:val="28"/>
          <w:szCs w:val="28"/>
          <w:highlight w:val="none"/>
          <w:lang w:eastAsia="zh-CN"/>
        </w:rPr>
        <w:t>收件地址：上海市浦东新区浦东南路528号上海证券大厦南塔12楼；收件人：</w:t>
      </w:r>
      <w:r>
        <w:rPr>
          <w:rFonts w:hint="eastAsia" w:ascii="仿宋_GB2312" w:eastAsia="仿宋_GB2312"/>
          <w:color w:val="000000"/>
          <w:sz w:val="28"/>
          <w:szCs w:val="28"/>
          <w:highlight w:val="none"/>
          <w:lang w:val="en-US" w:eastAsia="zh-CN"/>
        </w:rPr>
        <w:t>CA中心；电话：4008888400按键2-5。</w:t>
      </w:r>
    </w:p>
    <w:p w14:paraId="1C7EDD1A">
      <w:pPr>
        <w:ind w:firstLine="420" w:firstLineChars="200"/>
        <w:jc w:val="left"/>
        <w:rPr>
          <w:highlight w:val="none"/>
        </w:rPr>
      </w:pPr>
    </w:p>
    <w:p w14:paraId="31EA44DD">
      <w:pPr>
        <w:ind w:firstLine="420" w:firstLineChars="200"/>
        <w:jc w:val="left"/>
        <w:rPr>
          <w:highlight w:val="none"/>
        </w:rPr>
      </w:pPr>
    </w:p>
    <w:p w14:paraId="795ED63D">
      <w:pPr>
        <w:ind w:firstLine="420" w:firstLineChars="200"/>
        <w:jc w:val="left"/>
        <w:rPr>
          <w:highlight w:val="none"/>
        </w:rPr>
      </w:pPr>
    </w:p>
    <w:p w14:paraId="69DEDBD3">
      <w:pPr>
        <w:ind w:firstLine="420" w:firstLineChars="200"/>
        <w:jc w:val="left"/>
        <w:rPr>
          <w:highlight w:val="none"/>
        </w:rPr>
      </w:pPr>
    </w:p>
    <w:p w14:paraId="054838AF">
      <w:pPr>
        <w:ind w:firstLine="420" w:firstLineChars="200"/>
        <w:jc w:val="left"/>
        <w:rPr>
          <w:highlight w:val="none"/>
        </w:rPr>
      </w:pPr>
    </w:p>
    <w:p w14:paraId="44A862DC">
      <w:pPr>
        <w:ind w:firstLine="420" w:firstLineChars="200"/>
        <w:jc w:val="left"/>
        <w:rPr>
          <w:highlight w:val="none"/>
        </w:rPr>
      </w:pPr>
    </w:p>
    <w:p w14:paraId="64CCB78E">
      <w:pPr>
        <w:ind w:firstLine="420" w:firstLineChars="200"/>
        <w:jc w:val="left"/>
        <w:rPr>
          <w:highlight w:val="none"/>
        </w:rPr>
      </w:pPr>
    </w:p>
    <w:p w14:paraId="21738F0C">
      <w:pPr>
        <w:ind w:firstLine="420" w:firstLineChars="200"/>
        <w:jc w:val="left"/>
        <w:rPr>
          <w:highlight w:val="none"/>
        </w:rPr>
      </w:pPr>
    </w:p>
    <w:p w14:paraId="462F32E4">
      <w:pPr>
        <w:ind w:firstLine="420" w:firstLineChars="200"/>
        <w:jc w:val="left"/>
        <w:rPr>
          <w:highlight w:val="none"/>
        </w:rPr>
      </w:pPr>
    </w:p>
    <w:p w14:paraId="27C64711">
      <w:pPr>
        <w:ind w:firstLine="420" w:firstLineChars="200"/>
        <w:jc w:val="left"/>
        <w:rPr>
          <w:highlight w:val="none"/>
        </w:rPr>
      </w:pPr>
    </w:p>
    <w:p w14:paraId="7FE3B67C">
      <w:pPr>
        <w:ind w:firstLine="420" w:firstLineChars="200"/>
        <w:jc w:val="left"/>
        <w:rPr>
          <w:highlight w:val="none"/>
        </w:rPr>
      </w:pPr>
    </w:p>
    <w:p w14:paraId="3137F1E2">
      <w:pPr>
        <w:ind w:firstLine="420" w:firstLineChars="200"/>
        <w:jc w:val="left"/>
        <w:rPr>
          <w:highlight w:val="none"/>
        </w:rPr>
      </w:pPr>
    </w:p>
    <w:p w14:paraId="70E5DD10">
      <w:pPr>
        <w:ind w:firstLine="420" w:firstLineChars="200"/>
        <w:jc w:val="left"/>
        <w:rPr>
          <w:highlight w:val="none"/>
        </w:rPr>
      </w:pPr>
    </w:p>
    <w:p w14:paraId="0A73ACF0">
      <w:pPr>
        <w:ind w:firstLine="420" w:firstLineChars="200"/>
        <w:jc w:val="left"/>
        <w:rPr>
          <w:highlight w:val="none"/>
        </w:rPr>
      </w:pPr>
    </w:p>
    <w:p w14:paraId="3B850AC8">
      <w:pPr>
        <w:ind w:firstLine="420" w:firstLineChars="200"/>
        <w:jc w:val="left"/>
        <w:rPr>
          <w:highlight w:val="none"/>
        </w:rPr>
      </w:pPr>
    </w:p>
    <w:p w14:paraId="791390F9">
      <w:pPr>
        <w:ind w:firstLine="420" w:firstLineChars="200"/>
        <w:jc w:val="left"/>
        <w:rPr>
          <w:highlight w:val="none"/>
        </w:rPr>
      </w:pPr>
    </w:p>
    <w:p w14:paraId="3D725FE6">
      <w:pPr>
        <w:ind w:firstLine="420" w:firstLineChars="200"/>
        <w:jc w:val="left"/>
        <w:rPr>
          <w:highlight w:val="none"/>
        </w:rPr>
      </w:pPr>
    </w:p>
    <w:p w14:paraId="0D937410">
      <w:pPr>
        <w:ind w:firstLine="420" w:firstLineChars="200"/>
        <w:jc w:val="left"/>
        <w:rPr>
          <w:highlight w:val="none"/>
        </w:rPr>
      </w:pPr>
    </w:p>
    <w:p w14:paraId="7D19A573">
      <w:pPr>
        <w:ind w:firstLine="420" w:firstLineChars="200"/>
        <w:jc w:val="left"/>
        <w:rPr>
          <w:highlight w:val="none"/>
        </w:rPr>
      </w:pPr>
    </w:p>
    <w:p w14:paraId="78AC303A">
      <w:pPr>
        <w:ind w:firstLine="420" w:firstLineChars="200"/>
        <w:jc w:val="left"/>
        <w:rPr>
          <w:highlight w:val="none"/>
        </w:rPr>
      </w:pPr>
    </w:p>
    <w:p w14:paraId="33CE09CD">
      <w:pPr>
        <w:ind w:firstLine="420" w:firstLineChars="200"/>
        <w:jc w:val="left"/>
        <w:rPr>
          <w:highlight w:val="none"/>
        </w:rPr>
      </w:pPr>
    </w:p>
    <w:p w14:paraId="7C64E9D4">
      <w:pPr>
        <w:ind w:firstLine="420" w:firstLineChars="200"/>
        <w:jc w:val="left"/>
        <w:rPr>
          <w:highlight w:val="none"/>
        </w:rPr>
      </w:pPr>
    </w:p>
    <w:p w14:paraId="07F7AD1A">
      <w:pPr>
        <w:ind w:firstLine="420" w:firstLineChars="200"/>
        <w:jc w:val="left"/>
        <w:rPr>
          <w:highlight w:val="none"/>
        </w:rPr>
      </w:pPr>
    </w:p>
    <w:p w14:paraId="0E00DB10">
      <w:pPr>
        <w:widowControl/>
        <w:ind w:firstLine="0" w:firstLineChars="0"/>
        <w:jc w:val="left"/>
        <w:rPr>
          <w:rFonts w:ascii="Times New Roman" w:hAnsi="Times New Roman" w:eastAsia="黑体"/>
          <w:b/>
          <w:bCs/>
          <w:sz w:val="32"/>
          <w:szCs w:val="32"/>
        </w:rPr>
      </w:pPr>
      <w:bookmarkStart w:id="98" w:name="_Toc452017003"/>
      <w:bookmarkStart w:id="99" w:name="_Toc9248"/>
      <w:bookmarkStart w:id="100" w:name="_Toc406438949"/>
      <w:bookmarkStart w:id="101" w:name="_Toc10947"/>
      <w:bookmarkStart w:id="102" w:name="_Toc406438884"/>
      <w:bookmarkStart w:id="103" w:name="_Toc406436500"/>
      <w:bookmarkStart w:id="104" w:name="_Toc406439134"/>
      <w:bookmarkStart w:id="105" w:name="_Toc23947138"/>
      <w:bookmarkStart w:id="106" w:name="_Toc22390"/>
      <w:bookmarkStart w:id="107" w:name="_Toc408749982"/>
    </w:p>
    <w:p w14:paraId="280844E3">
      <w:pPr>
        <w:pStyle w:val="4"/>
        <w:spacing w:line="240" w:lineRule="auto"/>
        <w:jc w:val="center"/>
        <w:rPr>
          <w:rFonts w:hint="default" w:ascii="Times New Roman" w:hAnsi="Times New Roman" w:eastAsia="黑体"/>
          <w:kern w:val="2"/>
          <w:sz w:val="32"/>
          <w:szCs w:val="32"/>
        </w:rPr>
      </w:pPr>
      <w:bookmarkStart w:id="108" w:name="_Toc215740282"/>
      <w:r>
        <w:rPr>
          <w:rFonts w:hint="default" w:ascii="Times New Roman" w:hAnsi="Times New Roman" w:eastAsia="黑体"/>
          <w:kern w:val="2"/>
          <w:sz w:val="32"/>
          <w:szCs w:val="32"/>
        </w:rPr>
        <w:t>第三章 投资者适当性管理</w:t>
      </w:r>
      <w:bookmarkEnd w:id="98"/>
      <w:bookmarkEnd w:id="99"/>
      <w:bookmarkEnd w:id="100"/>
      <w:bookmarkEnd w:id="101"/>
      <w:bookmarkEnd w:id="102"/>
      <w:bookmarkEnd w:id="103"/>
      <w:bookmarkEnd w:id="104"/>
      <w:bookmarkEnd w:id="105"/>
      <w:bookmarkEnd w:id="106"/>
      <w:bookmarkEnd w:id="107"/>
      <w:bookmarkEnd w:id="108"/>
    </w:p>
    <w:p w14:paraId="0D6DE372">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证券公司应当严格执行股票期权投资者适当性管理制度，向客户全面介绍</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期权产品特征，充分揭示</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期权交易风险，对客户的适当性进行评估并对客户实施交易权限分级管理。证券公司不得接受不符合投资者适当性标准的客户从事股票期权交易。</w:t>
      </w:r>
    </w:p>
    <w:p w14:paraId="11D86341">
      <w:pPr>
        <w:ind w:firstLine="560" w:firstLineChars="200"/>
        <w:rPr>
          <w:rFonts w:hint="default" w:ascii="Times New Roman" w:hAnsi="Times New Roman" w:eastAsia="仿宋_GB2312"/>
          <w:b w:val="0"/>
          <w:sz w:val="28"/>
          <w:szCs w:val="28"/>
        </w:rPr>
      </w:pPr>
      <w:r>
        <w:rPr>
          <w:rFonts w:hint="default" w:ascii="Times New Roman" w:hAnsi="Times New Roman" w:eastAsia="仿宋_GB2312"/>
          <w:color w:val="auto"/>
          <w:sz w:val="28"/>
          <w:szCs w:val="28"/>
        </w:rPr>
        <w:t>投资者适当性评估及交易权限分级等事宜，应当由公司总部审核确定。</w:t>
      </w:r>
    </w:p>
    <w:p w14:paraId="3A92B34B">
      <w:pPr>
        <w:ind w:firstLine="560" w:firstLineChars="200"/>
        <w:jc w:val="both"/>
        <w:outlineLvl w:val="1"/>
        <w:rPr>
          <w:rFonts w:ascii="Times New Roman" w:hAnsi="Times New Roman" w:eastAsia="黑体"/>
          <w:sz w:val="28"/>
          <w:szCs w:val="28"/>
        </w:rPr>
      </w:pPr>
      <w:bookmarkStart w:id="109" w:name="_Toc406438885"/>
      <w:bookmarkStart w:id="110" w:name="_Toc408749983"/>
      <w:bookmarkStart w:id="111" w:name="_Toc27259"/>
      <w:bookmarkStart w:id="112" w:name="_Toc215740283"/>
      <w:bookmarkStart w:id="113" w:name="_Toc452017004"/>
      <w:bookmarkStart w:id="114" w:name="_Toc1039"/>
      <w:bookmarkStart w:id="115" w:name="_Toc2174"/>
      <w:bookmarkStart w:id="116" w:name="_Toc23947139"/>
      <w:r>
        <w:rPr>
          <w:rFonts w:hint="eastAsia" w:ascii="Times New Roman" w:hAnsi="Times New Roman" w:eastAsia="黑体"/>
          <w:sz w:val="28"/>
          <w:szCs w:val="28"/>
        </w:rPr>
        <w:t>一、投资者准入条件</w:t>
      </w:r>
      <w:bookmarkEnd w:id="109"/>
      <w:bookmarkEnd w:id="110"/>
      <w:r>
        <w:rPr>
          <w:rFonts w:hint="eastAsia" w:ascii="Times New Roman" w:hAnsi="Times New Roman" w:eastAsia="黑体"/>
          <w:sz w:val="28"/>
          <w:szCs w:val="28"/>
        </w:rPr>
        <w:t>的认定</w:t>
      </w:r>
      <w:bookmarkEnd w:id="111"/>
      <w:bookmarkEnd w:id="112"/>
      <w:bookmarkEnd w:id="113"/>
      <w:bookmarkEnd w:id="114"/>
      <w:bookmarkEnd w:id="115"/>
      <w:bookmarkEnd w:id="116"/>
    </w:p>
    <w:p w14:paraId="6C01A94D">
      <w:pPr>
        <w:ind w:firstLine="560" w:firstLineChars="200"/>
        <w:rPr>
          <w:rFonts w:ascii="Times New Roman" w:hAnsi="Times New Roman" w:eastAsia="楷体_GB2312"/>
          <w:b w:val="0"/>
          <w:sz w:val="28"/>
          <w:szCs w:val="28"/>
        </w:rPr>
      </w:pPr>
      <w:bookmarkStart w:id="117" w:name="_Toc406438886"/>
      <w:r>
        <w:rPr>
          <w:rFonts w:hint="default" w:ascii="Times New Roman" w:hAnsi="Times New Roman" w:eastAsia="楷体_GB2312"/>
          <w:b w:val="0"/>
          <w:sz w:val="28"/>
          <w:szCs w:val="28"/>
        </w:rPr>
        <w:t>（一）个人投资者</w:t>
      </w:r>
      <w:bookmarkEnd w:id="117"/>
    </w:p>
    <w:p w14:paraId="174DC78F">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个人投资者参与</w:t>
      </w:r>
      <w:r>
        <w:rPr>
          <w:rFonts w:hint="eastAsia" w:ascii="Times New Roman" w:hAnsi="Times New Roman" w:eastAsia="仿宋_GB2312"/>
          <w:sz w:val="28"/>
          <w:szCs w:val="28"/>
        </w:rPr>
        <w:t>股票</w:t>
      </w:r>
      <w:r>
        <w:rPr>
          <w:rFonts w:hint="default" w:ascii="Times New Roman" w:hAnsi="Times New Roman" w:eastAsia="仿宋_GB2312"/>
          <w:sz w:val="28"/>
          <w:szCs w:val="28"/>
        </w:rPr>
        <w:t>期权交易，应当符合下列条件：</w:t>
      </w:r>
    </w:p>
    <w:p w14:paraId="1829BD46">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1.申请开户时托管在其委托的期权经营机构的证券市值与资金账户可用余额（不含通过融资融券交易融入的资金或证券），合计不低于人民币50万元；</w:t>
      </w:r>
    </w:p>
    <w:p w14:paraId="6B8FD791">
      <w:pPr>
        <w:ind w:firstLine="560" w:firstLineChars="200"/>
        <w:rPr>
          <w:rFonts w:hint="default" w:ascii="Times New Roman" w:hAnsi="Times New Roman" w:eastAsia="仿宋_GB2312"/>
          <w:color w:val="auto"/>
          <w:sz w:val="28"/>
          <w:szCs w:val="28"/>
        </w:rPr>
      </w:pPr>
      <w:r>
        <w:rPr>
          <w:rFonts w:hint="default" w:ascii="Times New Roman" w:hAnsi="Times New Roman" w:eastAsia="仿宋_GB2312"/>
          <w:sz w:val="28"/>
          <w:szCs w:val="28"/>
        </w:rPr>
        <w:t>认定标准：个人投资者在证券公司开户的，以托管在证券公司上一交易日日终或者当天的</w:t>
      </w:r>
      <w:r>
        <w:rPr>
          <w:rFonts w:hint="default" w:ascii="Times New Roman" w:hAnsi="Times New Roman" w:eastAsia="仿宋_GB2312"/>
          <w:color w:val="auto"/>
          <w:sz w:val="28"/>
          <w:szCs w:val="28"/>
        </w:rPr>
        <w:t>证券市值与资金账户可用余额（不含通过融资融券交易融入的证券和资金）为依据。证券市值指在上海、深圳证券交易所或全国股份转让系统挂牌的股票、基金、债券、券商发行或代销的理财产品以及本所规定的其他证券的市值，如通过港股通购买的港股。</w:t>
      </w:r>
    </w:p>
    <w:p w14:paraId="2A5E7E05">
      <w:pPr>
        <w:ind w:firstLine="560" w:firstLineChars="200"/>
        <w:rPr>
          <w:rFonts w:hint="default"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已开立深市衍生品合约账户的投资者，视同符合本条要求。</w:t>
      </w:r>
    </w:p>
    <w:p w14:paraId="1BCD0E54">
      <w:pPr>
        <w:ind w:firstLine="560" w:firstLineChars="200"/>
        <w:rPr>
          <w:rFonts w:hint="default" w:ascii="Times New Roman" w:hAnsi="Times New Roman" w:eastAsia="仿宋_GB2312"/>
          <w:color w:val="auto"/>
          <w:sz w:val="28"/>
          <w:szCs w:val="28"/>
        </w:rPr>
      </w:pPr>
      <w:r>
        <w:rPr>
          <w:rFonts w:hint="default" w:ascii="Times New Roman" w:hAnsi="Times New Roman" w:eastAsia="仿宋_GB2312"/>
          <w:color w:val="auto"/>
          <w:sz w:val="28"/>
          <w:szCs w:val="28"/>
        </w:rPr>
        <w:t>2.指定交易在证券公司6个月以上并具备融资融券业务参与资格或者金融期货交易经历；或者在期货公司开户6个月以上并具有金融期货交易经历；</w:t>
      </w:r>
    </w:p>
    <w:p w14:paraId="436851DC">
      <w:pPr>
        <w:ind w:firstLine="560" w:firstLineChars="200"/>
        <w:rPr>
          <w:rFonts w:hint="default" w:ascii="Times New Roman" w:hAnsi="Times New Roman" w:eastAsia="仿宋_GB2312"/>
          <w:color w:val="auto"/>
          <w:sz w:val="28"/>
          <w:szCs w:val="28"/>
        </w:rPr>
      </w:pPr>
      <w:r>
        <w:rPr>
          <w:rFonts w:hint="default" w:ascii="Times New Roman" w:hAnsi="Times New Roman" w:eastAsia="仿宋_GB2312"/>
          <w:sz w:val="28"/>
          <w:szCs w:val="28"/>
        </w:rPr>
        <w:t>认定标准：指</w:t>
      </w:r>
      <w:r>
        <w:rPr>
          <w:rFonts w:hint="default" w:ascii="Times New Roman" w:hAnsi="Times New Roman" w:eastAsia="仿宋_GB2312"/>
          <w:color w:val="auto"/>
          <w:sz w:val="28"/>
          <w:szCs w:val="28"/>
        </w:rPr>
        <w:t>定交易在本公司或其他证券公司开户合计满六个月；具备本公司或其他公司融资融券业务参与资格或者至少有一次金融期货交易经历。</w:t>
      </w:r>
    </w:p>
    <w:p w14:paraId="25EDE8F4">
      <w:pPr>
        <w:ind w:firstLine="560" w:firstLineChars="200"/>
        <w:rPr>
          <w:rFonts w:hint="default"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已开立深市衍生品合约账户的投资者，视同符合本条要求。</w:t>
      </w:r>
    </w:p>
    <w:p w14:paraId="3DC76600">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3.</w:t>
      </w:r>
      <w:r>
        <w:rPr>
          <w:rFonts w:hint="default" w:ascii="Times New Roman" w:hAnsi="Times New Roman" w:eastAsia="仿宋_GB2312"/>
          <w:color w:val="auto"/>
          <w:sz w:val="28"/>
          <w:szCs w:val="28"/>
        </w:rPr>
        <w:t>具备</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期权基础知识，通过本所认可的相关测试</w:t>
      </w:r>
      <w:r>
        <w:rPr>
          <w:rFonts w:hint="default" w:ascii="Times New Roman" w:hAnsi="Times New Roman" w:eastAsia="仿宋_GB2312"/>
          <w:sz w:val="28"/>
          <w:szCs w:val="28"/>
        </w:rPr>
        <w:t>；</w:t>
      </w:r>
    </w:p>
    <w:p w14:paraId="1ABDCFE1">
      <w:pPr>
        <w:ind w:firstLine="560" w:firstLineChars="200"/>
        <w:rPr>
          <w:rFonts w:hint="default" w:ascii="Times New Roman" w:hAnsi="Times New Roman" w:eastAsia="仿宋_GB2312"/>
          <w:color w:val="auto"/>
          <w:sz w:val="28"/>
          <w:szCs w:val="28"/>
        </w:rPr>
      </w:pPr>
      <w:r>
        <w:rPr>
          <w:rFonts w:hint="default" w:ascii="Times New Roman" w:hAnsi="Times New Roman" w:eastAsia="仿宋_GB2312"/>
          <w:color w:val="auto"/>
          <w:sz w:val="28"/>
          <w:szCs w:val="28"/>
        </w:rPr>
        <w:t>认定标准：目前本所组织的</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期权知识测试有两种形式，期权经营机构在营业部组织的网上</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知识测试和本所统一组织的现场培训测试。通过知识测试的投资者，知识测试成绩长期有效，并可用于在其他期权经营机构申请开户。证券公司可登陆本所会员数据服务平台（https://mip.sseinfo.com/）查询指定交易在本单位的投资者的知识测试成绩；个人投资者可通过本所投资者一网通办平台“期权测试成绩查询”（https://one.sse.com.cn/investor/#/optionExam）入口查询本人测试成绩。</w:t>
      </w:r>
    </w:p>
    <w:p w14:paraId="5CAB096C">
      <w:pPr>
        <w:ind w:firstLine="560" w:firstLineChars="200"/>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已开立深市衍生品合约账户或有中国金融期货交易所交易编码的投资者，视同符合本条要求。</w:t>
      </w:r>
    </w:p>
    <w:p w14:paraId="6E55E604">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4.具有本所认可的</w:t>
      </w:r>
      <w:r>
        <w:rPr>
          <w:rFonts w:hint="eastAsia" w:ascii="Times New Roman" w:hAnsi="Times New Roman" w:eastAsia="仿宋_GB2312"/>
          <w:sz w:val="28"/>
          <w:szCs w:val="28"/>
        </w:rPr>
        <w:t>股票</w:t>
      </w:r>
      <w:r>
        <w:rPr>
          <w:rFonts w:hint="default" w:ascii="Times New Roman" w:hAnsi="Times New Roman" w:eastAsia="仿宋_GB2312"/>
          <w:sz w:val="28"/>
          <w:szCs w:val="28"/>
        </w:rPr>
        <w:t>期权模拟交易经历；</w:t>
      </w:r>
    </w:p>
    <w:p w14:paraId="7898F087">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认定标准：投资者</w:t>
      </w:r>
      <w:r>
        <w:rPr>
          <w:rFonts w:hint="eastAsia" w:ascii="Times New Roman" w:hAnsi="Times New Roman" w:eastAsia="仿宋_GB2312"/>
          <w:sz w:val="28"/>
          <w:szCs w:val="28"/>
        </w:rPr>
        <w:t>股票</w:t>
      </w:r>
      <w:r>
        <w:rPr>
          <w:rFonts w:hint="default" w:ascii="Times New Roman" w:hAnsi="Times New Roman" w:eastAsia="仿宋_GB2312"/>
          <w:sz w:val="28"/>
          <w:szCs w:val="28"/>
        </w:rPr>
        <w:t>期权模拟交易经历，依据其参与本所</w:t>
      </w:r>
      <w:r>
        <w:rPr>
          <w:rFonts w:hint="eastAsia" w:ascii="Times New Roman" w:hAnsi="Times New Roman" w:eastAsia="仿宋_GB2312"/>
          <w:sz w:val="28"/>
          <w:szCs w:val="28"/>
        </w:rPr>
        <w:t>股票</w:t>
      </w:r>
      <w:r>
        <w:rPr>
          <w:rFonts w:hint="default" w:ascii="Times New Roman" w:hAnsi="Times New Roman" w:eastAsia="仿宋_GB2312"/>
          <w:sz w:val="28"/>
          <w:szCs w:val="28"/>
        </w:rPr>
        <w:t>期权模拟交易的记录数据予以核定。证券公司可登陆本所会员信息服务平台查询指定交易在本单位的投资者的模拟交易经历。查询页面直接显示投资者模拟交易经历对应的级别，证券公司无需再查询模拟交易细节。模拟交易经历对应的级别以本所系统显示为准。</w:t>
      </w:r>
    </w:p>
    <w:p w14:paraId="5886C981">
      <w:pPr>
        <w:widowControl/>
        <w:ind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若投资者除“行权”经历外，已满足开户所需的其他适当性准入条件，且投资者书面承诺“在期权模拟交易下一个行权日完成行权操作”的，期权经营机构可先行为其开户。期权经营机构应当督促投资者在下一个行权日完</w:t>
      </w:r>
      <w:r>
        <w:rPr>
          <w:rFonts w:hint="default" w:ascii="Times New Roman" w:hAnsi="Times New Roman" w:eastAsia="仿宋_GB2312" w:cs="Times New Roman"/>
          <w:sz w:val="28"/>
          <w:szCs w:val="28"/>
          <w:highlight w:val="none"/>
        </w:rPr>
        <w:t>成</w:t>
      </w:r>
      <w:r>
        <w:rPr>
          <w:rFonts w:hint="eastAsia" w:ascii="Times New Roman" w:hAnsi="Times New Roman" w:eastAsia="仿宋_GB2312" w:cs="Times New Roman"/>
          <w:sz w:val="28"/>
          <w:szCs w:val="28"/>
          <w:highlight w:val="none"/>
          <w:lang w:val="en-US" w:eastAsia="zh-CN"/>
        </w:rPr>
        <w:t>模拟交易的</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rPr>
        <w:t>行权”操作。</w:t>
      </w:r>
    </w:p>
    <w:p w14:paraId="16F6604F">
      <w:pPr>
        <w:ind w:firstLine="560" w:firstLineChars="200"/>
        <w:rPr>
          <w:rFonts w:hint="default" w:ascii="Times New Roman" w:hAnsi="Times New Roman" w:eastAsia="仿宋_GB2312"/>
          <w:sz w:val="28"/>
          <w:szCs w:val="28"/>
        </w:rPr>
      </w:pPr>
      <w:r>
        <w:rPr>
          <w:rFonts w:hint="default" w:ascii="Times New Roman" w:hAnsi="Times New Roman" w:eastAsia="仿宋_GB2312"/>
          <w:color w:val="auto"/>
          <w:sz w:val="28"/>
          <w:szCs w:val="28"/>
          <w:lang w:val="en-US" w:eastAsia="zh-CN"/>
        </w:rPr>
        <w:t>已开立深市衍生品合约账户的投资者，视同符合本条要求。</w:t>
      </w:r>
    </w:p>
    <w:p w14:paraId="3E8FF15B">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5.具有相应的风险承受能力；</w:t>
      </w:r>
    </w:p>
    <w:p w14:paraId="16BEA9F0">
      <w:pPr>
        <w:ind w:firstLine="560" w:firstLineChars="200"/>
        <w:rPr>
          <w:rFonts w:hint="default" w:ascii="Times New Roman" w:hAnsi="Times New Roman" w:eastAsia="仿宋_GB2312"/>
          <w:color w:val="auto"/>
          <w:sz w:val="28"/>
          <w:szCs w:val="28"/>
        </w:rPr>
      </w:pPr>
      <w:r>
        <w:rPr>
          <w:rFonts w:hint="default" w:ascii="Times New Roman" w:hAnsi="Times New Roman" w:eastAsia="仿宋_GB2312"/>
          <w:color w:val="auto"/>
          <w:sz w:val="28"/>
          <w:szCs w:val="28"/>
        </w:rPr>
        <w:t>认定标准</w:t>
      </w:r>
      <w:r>
        <w:rPr>
          <w:rFonts w:ascii="Times New Roman" w:hAnsi="Times New Roman" w:eastAsia="仿宋_GB2312"/>
          <w:color w:val="auto"/>
          <w:sz w:val="28"/>
          <w:szCs w:val="28"/>
        </w:rPr>
        <w:t>：</w:t>
      </w:r>
      <w:r>
        <w:rPr>
          <w:rFonts w:hint="default" w:ascii="Times New Roman" w:hAnsi="Times New Roman" w:eastAsia="仿宋_GB2312"/>
          <w:color w:val="auto"/>
          <w:sz w:val="28"/>
          <w:szCs w:val="28"/>
        </w:rPr>
        <w:t>期权经营机构应当对投资者的风险承受能力进行评估。1年内对该投资者进行过风险承受能力评估的，可不重做评估。对于风险承受能力评估中未达“稳健”或相应等级的投资者，建议期权经营机构不为其开立</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w:t>
      </w:r>
      <w:r>
        <w:rPr>
          <w:rFonts w:ascii="Times New Roman" w:hAnsi="Times New Roman" w:eastAsia="仿宋_GB2312"/>
          <w:sz w:val="28"/>
          <w:szCs w:val="28"/>
        </w:rPr>
        <w:t>账户</w:t>
      </w:r>
      <w:r>
        <w:rPr>
          <w:rFonts w:hint="default" w:ascii="Times New Roman" w:hAnsi="Times New Roman" w:eastAsia="仿宋_GB2312"/>
          <w:color w:val="auto"/>
          <w:sz w:val="28"/>
          <w:szCs w:val="28"/>
        </w:rPr>
        <w:t>。</w:t>
      </w:r>
    </w:p>
    <w:p w14:paraId="08EBE4CA">
      <w:pPr>
        <w:ind w:firstLine="560" w:firstLineChars="200"/>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已开立深市衍生品合约账户的投资者，视同符合本条要求。</w:t>
      </w:r>
    </w:p>
    <w:p w14:paraId="000FABC1">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6.不存在严重不良诚信记录，不存在法律、法规、规章和本所业务规则禁止或者限制从事</w:t>
      </w:r>
      <w:r>
        <w:rPr>
          <w:rFonts w:hint="eastAsia" w:ascii="Times New Roman" w:hAnsi="Times New Roman" w:eastAsia="仿宋_GB2312"/>
          <w:sz w:val="28"/>
          <w:szCs w:val="28"/>
        </w:rPr>
        <w:t>股票</w:t>
      </w:r>
      <w:r>
        <w:rPr>
          <w:rFonts w:hint="default" w:ascii="Times New Roman" w:hAnsi="Times New Roman" w:eastAsia="仿宋_GB2312"/>
          <w:sz w:val="28"/>
          <w:szCs w:val="28"/>
        </w:rPr>
        <w:t>期权交易的情形；</w:t>
      </w:r>
    </w:p>
    <w:p w14:paraId="0D2AF560">
      <w:pPr>
        <w:widowControl w:val="0"/>
        <w:shd w:val="clear" w:color="auto" w:fill="auto"/>
        <w:spacing w:after="0" w:line="240" w:lineRule="auto"/>
        <w:ind w:firstLine="560" w:firstLineChars="200"/>
        <w:jc w:val="both"/>
        <w:rPr>
          <w:rFonts w:hint="default" w:ascii="Times New Roman" w:hAnsi="Times New Roman" w:eastAsia="仿宋_GB2312"/>
          <w:sz w:val="28"/>
          <w:szCs w:val="28"/>
        </w:rPr>
      </w:pPr>
      <w:r>
        <w:rPr>
          <w:rFonts w:hint="default" w:ascii="Times New Roman" w:hAnsi="Times New Roman" w:eastAsia="仿宋_GB2312"/>
          <w:sz w:val="28"/>
          <w:szCs w:val="28"/>
        </w:rPr>
        <w:t>认定标准：法律、法规、规章禁止或者限制从事</w:t>
      </w:r>
      <w:r>
        <w:rPr>
          <w:rFonts w:hint="eastAsia" w:ascii="Times New Roman" w:hAnsi="Times New Roman" w:eastAsia="仿宋_GB2312"/>
          <w:sz w:val="28"/>
          <w:szCs w:val="28"/>
        </w:rPr>
        <w:t>股票</w:t>
      </w:r>
      <w:r>
        <w:rPr>
          <w:rFonts w:hint="default" w:ascii="Times New Roman" w:hAnsi="Times New Roman" w:eastAsia="仿宋_GB2312"/>
          <w:sz w:val="28"/>
          <w:szCs w:val="28"/>
        </w:rPr>
        <w:t>期权交易的情形，如国家外汇管理局《关于改革外商投资企业外汇资本金结汇管理方式的通知》规定，外商投资企业资本金及其结汇所得人民币资金不得直接或间接用于证券投资。证券公司应当加强外商投资企业客户的资金来源核查工作，必要时可以要求客户提交相关承诺书。</w:t>
      </w:r>
    </w:p>
    <w:p w14:paraId="1E96F9D5">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7.本所规定的其他条件。</w:t>
      </w:r>
    </w:p>
    <w:p w14:paraId="0869B36A">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个人投资者参与</w:t>
      </w:r>
      <w:r>
        <w:rPr>
          <w:rFonts w:hint="eastAsia" w:ascii="Times New Roman" w:hAnsi="Times New Roman" w:eastAsia="仿宋_GB2312"/>
          <w:sz w:val="28"/>
          <w:szCs w:val="28"/>
        </w:rPr>
        <w:t>股票</w:t>
      </w:r>
      <w:r>
        <w:rPr>
          <w:rFonts w:hint="default" w:ascii="Times New Roman" w:hAnsi="Times New Roman" w:eastAsia="仿宋_GB2312"/>
          <w:sz w:val="28"/>
          <w:szCs w:val="28"/>
        </w:rPr>
        <w:t>期权交易，应当通过期权经营机构组织的</w:t>
      </w:r>
      <w:r>
        <w:rPr>
          <w:rFonts w:hint="eastAsia" w:ascii="Times New Roman" w:hAnsi="Times New Roman" w:eastAsia="仿宋_GB2312"/>
          <w:sz w:val="28"/>
          <w:szCs w:val="28"/>
        </w:rPr>
        <w:t>股票</w:t>
      </w:r>
      <w:r>
        <w:rPr>
          <w:rFonts w:hint="default" w:ascii="Times New Roman" w:hAnsi="Times New Roman" w:eastAsia="仿宋_GB2312"/>
          <w:sz w:val="28"/>
          <w:szCs w:val="28"/>
        </w:rPr>
        <w:t>期权投资者适当性综合评估。</w:t>
      </w:r>
      <w:r>
        <w:rPr>
          <w:rFonts w:hint="default" w:ascii="Times New Roman" w:hAnsi="Times New Roman" w:eastAsia="仿宋_GB2312"/>
          <w:color w:val="auto"/>
          <w:kern w:val="2"/>
          <w:sz w:val="28"/>
          <w:szCs w:val="28"/>
        </w:rPr>
        <w:t>港澳台投资者只要满足《上海证券交易所股票期权试点投资者适当性管理指引》相关要求，可参与</w:t>
      </w:r>
      <w:r>
        <w:rPr>
          <w:rFonts w:ascii="Times New Roman" w:hAnsi="Times New Roman" w:eastAsia="仿宋_GB2312"/>
          <w:sz w:val="28"/>
          <w:szCs w:val="28"/>
        </w:rPr>
        <w:t>股票</w:t>
      </w:r>
      <w:r>
        <w:rPr>
          <w:rFonts w:hint="default" w:ascii="Times New Roman" w:hAnsi="Times New Roman" w:eastAsia="仿宋_GB2312"/>
          <w:color w:val="auto"/>
          <w:kern w:val="2"/>
          <w:sz w:val="28"/>
          <w:szCs w:val="28"/>
        </w:rPr>
        <w:t>期权交易。</w:t>
      </w:r>
    </w:p>
    <w:p w14:paraId="6FC93340">
      <w:pPr>
        <w:ind w:firstLine="560" w:firstLineChars="200"/>
        <w:rPr>
          <w:rFonts w:ascii="Times New Roman" w:hAnsi="Times New Roman" w:eastAsia="楷体_GB2312"/>
          <w:b w:val="0"/>
          <w:sz w:val="28"/>
          <w:szCs w:val="28"/>
        </w:rPr>
      </w:pPr>
      <w:bookmarkStart w:id="118" w:name="_Toc406438887"/>
      <w:r>
        <w:rPr>
          <w:rFonts w:hint="default" w:ascii="Times New Roman" w:hAnsi="Times New Roman" w:eastAsia="楷体_GB2312"/>
          <w:b w:val="0"/>
          <w:sz w:val="28"/>
          <w:szCs w:val="28"/>
        </w:rPr>
        <w:t>（二）普通机构投资者</w:t>
      </w:r>
      <w:bookmarkEnd w:id="118"/>
    </w:p>
    <w:p w14:paraId="0A20B15D">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普通机构投资者参与</w:t>
      </w:r>
      <w:r>
        <w:rPr>
          <w:rFonts w:ascii="Times New Roman" w:hAnsi="Times New Roman" w:eastAsia="仿宋_GB2312"/>
          <w:sz w:val="28"/>
          <w:szCs w:val="28"/>
        </w:rPr>
        <w:t>股票</w:t>
      </w:r>
      <w:r>
        <w:rPr>
          <w:rFonts w:hint="default" w:ascii="Times New Roman" w:hAnsi="Times New Roman" w:eastAsia="仿宋_GB2312"/>
          <w:sz w:val="28"/>
          <w:szCs w:val="28"/>
        </w:rPr>
        <w:t>期权交易，应当符合下列条件，具体认定标准参照个人投资者执行：</w:t>
      </w:r>
    </w:p>
    <w:p w14:paraId="72E62B62">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1.申请开户时托管在其委托的证券公司的证券市值与资金账户可用余额（不含通过融资融券交易融入的证券和资金），合计不低于人民币100万元；</w:t>
      </w:r>
    </w:p>
    <w:p w14:paraId="6C1CAC6B">
      <w:pPr>
        <w:ind w:firstLine="560" w:firstLineChars="200"/>
        <w:rPr>
          <w:rFonts w:hint="default" w:ascii="Times New Roman" w:hAnsi="Times New Roman" w:eastAsia="仿宋_GB2312"/>
          <w:sz w:val="28"/>
          <w:szCs w:val="28"/>
        </w:rPr>
      </w:pPr>
      <w:r>
        <w:rPr>
          <w:rFonts w:hint="eastAsia" w:ascii="Times New Roman" w:hAnsi="Times New Roman" w:eastAsia="仿宋_GB2312"/>
          <w:color w:val="auto"/>
          <w:sz w:val="28"/>
          <w:szCs w:val="28"/>
          <w:lang w:val="en-US" w:eastAsia="zh-CN"/>
        </w:rPr>
        <w:t>已开立深市衍生品合约账户的普通机构投资者，视同符合本条要求。</w:t>
      </w:r>
    </w:p>
    <w:p w14:paraId="2C810CFF">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2.上一季度末净资产不低于人民币100万元（新成立的机构取最近净资产）；</w:t>
      </w:r>
    </w:p>
    <w:p w14:paraId="65DDC00B">
      <w:pPr>
        <w:ind w:firstLine="560" w:firstLineChars="200"/>
        <w:rPr>
          <w:rFonts w:hint="default" w:ascii="Times New Roman" w:hAnsi="Times New Roman" w:eastAsia="仿宋_GB2312"/>
          <w:sz w:val="28"/>
          <w:szCs w:val="28"/>
        </w:rPr>
      </w:pPr>
      <w:r>
        <w:rPr>
          <w:rFonts w:hint="eastAsia" w:ascii="Times New Roman" w:hAnsi="Times New Roman" w:eastAsia="仿宋_GB2312"/>
          <w:color w:val="auto"/>
          <w:sz w:val="28"/>
          <w:szCs w:val="28"/>
          <w:lang w:val="en-US" w:eastAsia="zh-CN"/>
        </w:rPr>
        <w:t>已开立深市衍生品合约账户的普通机构投资者，视同符合本条要求。</w:t>
      </w:r>
    </w:p>
    <w:p w14:paraId="65AE33AE">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3.相关业务人员具备</w:t>
      </w:r>
      <w:r>
        <w:rPr>
          <w:rFonts w:ascii="Times New Roman" w:hAnsi="Times New Roman" w:eastAsia="仿宋_GB2312"/>
          <w:sz w:val="28"/>
          <w:szCs w:val="28"/>
        </w:rPr>
        <w:t>股票</w:t>
      </w:r>
      <w:r>
        <w:rPr>
          <w:rFonts w:hint="default" w:ascii="Times New Roman" w:hAnsi="Times New Roman" w:eastAsia="仿宋_GB2312"/>
          <w:sz w:val="28"/>
          <w:szCs w:val="28"/>
        </w:rPr>
        <w:t>期权基础知识，通过本所认可的相关知识测试；相关业务人员主要是指</w:t>
      </w:r>
      <w:r>
        <w:rPr>
          <w:rFonts w:ascii="Times New Roman" w:hAnsi="Times New Roman" w:eastAsia="仿宋_GB2312"/>
          <w:sz w:val="28"/>
          <w:szCs w:val="28"/>
        </w:rPr>
        <w:t>股票</w:t>
      </w:r>
      <w:r>
        <w:rPr>
          <w:rFonts w:hint="default" w:ascii="Times New Roman" w:hAnsi="Times New Roman" w:eastAsia="仿宋_GB2312"/>
          <w:sz w:val="28"/>
          <w:szCs w:val="28"/>
        </w:rPr>
        <w:t>期权投资决策人员以及下单人员；</w:t>
      </w:r>
    </w:p>
    <w:p w14:paraId="3F551331">
      <w:pPr>
        <w:ind w:firstLine="560" w:firstLineChars="200"/>
        <w:rPr>
          <w:rFonts w:hint="default" w:ascii="Times New Roman" w:hAnsi="Times New Roman" w:eastAsia="仿宋_GB2312"/>
          <w:sz w:val="28"/>
          <w:szCs w:val="28"/>
        </w:rPr>
      </w:pPr>
      <w:r>
        <w:rPr>
          <w:rFonts w:hint="eastAsia" w:ascii="Times New Roman" w:hAnsi="Times New Roman" w:eastAsia="仿宋_GB2312"/>
          <w:color w:val="auto"/>
          <w:sz w:val="28"/>
          <w:szCs w:val="28"/>
          <w:lang w:val="en-US" w:eastAsia="zh-CN"/>
        </w:rPr>
        <w:t>已开立深市衍生品合约账户或有中国金融期货交易所交易编码的普通机构投资者，视同符合本条要求。</w:t>
      </w:r>
    </w:p>
    <w:p w14:paraId="10D21C46">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4.相关业务人员具有与三级</w:t>
      </w:r>
      <w:r>
        <w:rPr>
          <w:rFonts w:ascii="Times New Roman" w:hAnsi="Times New Roman" w:eastAsia="仿宋_GB2312"/>
          <w:sz w:val="28"/>
          <w:szCs w:val="28"/>
        </w:rPr>
        <w:t>股票</w:t>
      </w:r>
      <w:r>
        <w:rPr>
          <w:rFonts w:hint="default" w:ascii="Times New Roman" w:hAnsi="Times New Roman" w:eastAsia="仿宋_GB2312"/>
          <w:sz w:val="28"/>
          <w:szCs w:val="28"/>
        </w:rPr>
        <w:t>期权交易权限相对应的本所认可的</w:t>
      </w:r>
      <w:r>
        <w:rPr>
          <w:rFonts w:ascii="Times New Roman" w:hAnsi="Times New Roman" w:eastAsia="仿宋_GB2312"/>
          <w:sz w:val="28"/>
          <w:szCs w:val="28"/>
        </w:rPr>
        <w:t>股票</w:t>
      </w:r>
      <w:r>
        <w:rPr>
          <w:rFonts w:hint="default" w:ascii="Times New Roman" w:hAnsi="Times New Roman" w:eastAsia="仿宋_GB2312"/>
          <w:sz w:val="28"/>
          <w:szCs w:val="28"/>
        </w:rPr>
        <w:t>期权模拟交易经历（通过该机构开设的</w:t>
      </w:r>
      <w:r>
        <w:rPr>
          <w:rFonts w:ascii="Times New Roman" w:hAnsi="Times New Roman" w:eastAsia="仿宋_GB2312"/>
          <w:sz w:val="28"/>
          <w:szCs w:val="28"/>
        </w:rPr>
        <w:t>股票</w:t>
      </w:r>
      <w:r>
        <w:rPr>
          <w:rFonts w:hint="default" w:ascii="Times New Roman" w:hAnsi="Times New Roman" w:eastAsia="仿宋_GB2312"/>
          <w:sz w:val="28"/>
          <w:szCs w:val="28"/>
        </w:rPr>
        <w:t>期权模拟账户来完成）；</w:t>
      </w:r>
    </w:p>
    <w:p w14:paraId="08F7A202">
      <w:pPr>
        <w:ind w:firstLine="560" w:firstLineChars="200"/>
        <w:rPr>
          <w:rFonts w:hint="default"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已开立深市衍生品合约账户的普通机构投资者，视同符合本条要求。</w:t>
      </w:r>
    </w:p>
    <w:p w14:paraId="24255290">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5.不存在严重不良诚信记录和法律、法规、规章和本所业务规则禁止或者限制从事</w:t>
      </w:r>
      <w:r>
        <w:rPr>
          <w:rFonts w:ascii="Times New Roman" w:hAnsi="Times New Roman" w:eastAsia="仿宋_GB2312"/>
          <w:sz w:val="28"/>
          <w:szCs w:val="28"/>
        </w:rPr>
        <w:t>股票</w:t>
      </w:r>
      <w:r>
        <w:rPr>
          <w:rFonts w:hint="default" w:ascii="Times New Roman" w:hAnsi="Times New Roman" w:eastAsia="仿宋_GB2312"/>
          <w:sz w:val="28"/>
          <w:szCs w:val="28"/>
        </w:rPr>
        <w:t>期权交易的情形；</w:t>
      </w:r>
    </w:p>
    <w:p w14:paraId="07933E30">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6.本所规定的其他条件。</w:t>
      </w:r>
    </w:p>
    <w:p w14:paraId="017D93BC">
      <w:pPr>
        <w:ind w:firstLine="560" w:firstLineChars="200"/>
        <w:rPr>
          <w:rFonts w:ascii="Times New Roman" w:hAnsi="Times New Roman" w:eastAsia="楷体_GB2312"/>
          <w:b w:val="0"/>
          <w:sz w:val="28"/>
          <w:szCs w:val="28"/>
        </w:rPr>
      </w:pPr>
      <w:bookmarkStart w:id="119" w:name="_Toc406438888"/>
      <w:r>
        <w:rPr>
          <w:rFonts w:hint="default" w:ascii="Times New Roman" w:hAnsi="Times New Roman" w:eastAsia="楷体_GB2312"/>
          <w:b w:val="0"/>
          <w:sz w:val="28"/>
          <w:szCs w:val="28"/>
        </w:rPr>
        <w:t>（三）专业机构投资者</w:t>
      </w:r>
      <w:bookmarkEnd w:id="119"/>
    </w:p>
    <w:p w14:paraId="26E3D6B7">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除法律、法规、规章以及监管机构另有规定外，下列专业机构投资者参与</w:t>
      </w:r>
      <w:r>
        <w:rPr>
          <w:rFonts w:ascii="Times New Roman" w:hAnsi="Times New Roman" w:eastAsia="仿宋_GB2312"/>
          <w:sz w:val="28"/>
          <w:szCs w:val="28"/>
        </w:rPr>
        <w:t>股票</w:t>
      </w:r>
      <w:r>
        <w:rPr>
          <w:rFonts w:hint="default" w:ascii="Times New Roman" w:hAnsi="Times New Roman" w:eastAsia="仿宋_GB2312"/>
          <w:sz w:val="28"/>
          <w:szCs w:val="28"/>
        </w:rPr>
        <w:t>期权交易，不对其进行适当性管理综合评估：</w:t>
      </w:r>
    </w:p>
    <w:p w14:paraId="0E42B77F">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1.商业银行、期权经营机构、保险机构、信托公司、基金管理公司、财务公司、合格境外机构投资者等专业机构及其分支机构；</w:t>
      </w:r>
    </w:p>
    <w:p w14:paraId="3102F878">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2.证券投资基金、社保基金、养老基金、企业年金、信托计划、资产管理计划、银行及保险理财产品、在中国证券投资基金业协会备案的私募基金，以及由第</w:t>
      </w:r>
      <w:r>
        <w:rPr>
          <w:rFonts w:hint="eastAsia" w:ascii="Times New Roman" w:hAnsi="Times New Roman" w:eastAsia="仿宋_GB2312"/>
          <w:sz w:val="28"/>
          <w:szCs w:val="28"/>
        </w:rPr>
        <w:t>1</w:t>
      </w:r>
      <w:r>
        <w:rPr>
          <w:rFonts w:hint="default" w:ascii="Times New Roman" w:hAnsi="Times New Roman" w:eastAsia="仿宋_GB2312"/>
          <w:sz w:val="28"/>
          <w:szCs w:val="28"/>
        </w:rPr>
        <w:t>项所列专业机构担任管理人的其他基金或者委托投资资产；</w:t>
      </w:r>
    </w:p>
    <w:p w14:paraId="09C44FD5">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3.监管机构及本所规定的其他专业机构投资者。</w:t>
      </w:r>
    </w:p>
    <w:p w14:paraId="73F3C7B7">
      <w:pPr>
        <w:ind w:firstLine="560" w:firstLineChars="200"/>
        <w:rPr>
          <w:rFonts w:hint="default" w:ascii="Times New Roman" w:hAnsi="Times New Roman" w:eastAsia="仿宋_GB2312"/>
          <w:sz w:val="28"/>
          <w:szCs w:val="28"/>
          <w:highlight w:val="yellow"/>
        </w:rPr>
      </w:pPr>
      <w:r>
        <w:rPr>
          <w:rFonts w:hint="default" w:ascii="Times New Roman" w:hAnsi="Times New Roman" w:eastAsia="仿宋_GB2312"/>
          <w:sz w:val="28"/>
          <w:szCs w:val="28"/>
        </w:rPr>
        <w:t>股票期权上线初期，根据《上海证券交易所沪港通试点办法》，沪股通投资者暂时不能交易股</w:t>
      </w:r>
      <w:r>
        <w:rPr>
          <w:rFonts w:hint="default" w:ascii="Times New Roman" w:hAnsi="Times New Roman" w:eastAsia="仿宋_GB2312"/>
          <w:sz w:val="28"/>
          <w:szCs w:val="28"/>
          <w:highlight w:val="none"/>
        </w:rPr>
        <w:t>票期权产品。根据《关于合格境外机构投资者和人民币合格境外机构投资者参与股票期权交易有关事项的通知》，合格境外投资者可以参与本所ETF期权交易，交易目的限于套期保值。</w:t>
      </w:r>
      <w:r>
        <w:rPr>
          <w:rFonts w:hint="eastAsia" w:ascii="Times New Roman" w:hAnsi="Times New Roman" w:eastAsia="仿宋_GB2312"/>
          <w:sz w:val="28"/>
          <w:szCs w:val="28"/>
          <w:highlight w:val="none"/>
          <w:lang w:eastAsia="zh-CN"/>
        </w:rPr>
        <w:t xml:space="preserve"> </w:t>
      </w:r>
      <w:r>
        <w:rPr>
          <w:rFonts w:hint="eastAsia" w:ascii="Times New Roman" w:hAnsi="Times New Roman" w:eastAsia="仿宋_GB2312"/>
          <w:sz w:val="28"/>
          <w:szCs w:val="28"/>
          <w:highlight w:val="none"/>
          <w:lang w:val="en-US" w:eastAsia="zh-CN"/>
        </w:rPr>
        <w:t xml:space="preserve">       </w:t>
      </w:r>
    </w:p>
    <w:p w14:paraId="4A69635A">
      <w:pPr>
        <w:ind w:firstLine="560" w:firstLineChars="200"/>
        <w:jc w:val="both"/>
        <w:outlineLvl w:val="1"/>
        <w:rPr>
          <w:rFonts w:ascii="Times New Roman" w:hAnsi="Times New Roman" w:eastAsia="黑体"/>
          <w:sz w:val="28"/>
          <w:szCs w:val="28"/>
        </w:rPr>
      </w:pPr>
      <w:bookmarkStart w:id="120" w:name="_Toc215740284"/>
      <w:bookmarkStart w:id="121" w:name="_Toc23947140"/>
      <w:bookmarkStart w:id="122" w:name="_Toc29696"/>
      <w:bookmarkStart w:id="123" w:name="_Toc28057"/>
      <w:bookmarkStart w:id="124" w:name="_Toc12636"/>
      <w:bookmarkStart w:id="125" w:name="_Toc406438889"/>
      <w:bookmarkStart w:id="126" w:name="_Toc408749984"/>
      <w:bookmarkStart w:id="127" w:name="_Toc452017005"/>
      <w:r>
        <w:rPr>
          <w:rFonts w:hint="eastAsia" w:ascii="Times New Roman" w:hAnsi="Times New Roman" w:eastAsia="黑体"/>
          <w:sz w:val="28"/>
          <w:szCs w:val="28"/>
        </w:rPr>
        <w:t>二、综合评估</w:t>
      </w:r>
      <w:bookmarkEnd w:id="120"/>
      <w:bookmarkEnd w:id="121"/>
      <w:bookmarkEnd w:id="122"/>
      <w:bookmarkEnd w:id="123"/>
      <w:bookmarkEnd w:id="124"/>
      <w:bookmarkEnd w:id="125"/>
      <w:bookmarkEnd w:id="126"/>
      <w:bookmarkEnd w:id="127"/>
    </w:p>
    <w:p w14:paraId="2C62E8AB">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证券公司应当制定</w:t>
      </w:r>
      <w:r>
        <w:rPr>
          <w:rFonts w:ascii="Times New Roman" w:hAnsi="Times New Roman" w:eastAsia="仿宋_GB2312"/>
          <w:sz w:val="28"/>
          <w:szCs w:val="28"/>
        </w:rPr>
        <w:t>股票</w:t>
      </w:r>
      <w:r>
        <w:rPr>
          <w:rFonts w:hint="default" w:ascii="Times New Roman" w:hAnsi="Times New Roman" w:eastAsia="仿宋_GB2312"/>
          <w:sz w:val="28"/>
          <w:szCs w:val="28"/>
        </w:rPr>
        <w:t>期权投资者适当性管理综合评估（以下简称综合评估）的实施办法，选择适当的投资者参与</w:t>
      </w:r>
      <w:r>
        <w:rPr>
          <w:rFonts w:ascii="Times New Roman" w:hAnsi="Times New Roman" w:eastAsia="仿宋_GB2312"/>
          <w:sz w:val="28"/>
          <w:szCs w:val="28"/>
        </w:rPr>
        <w:t>股票</w:t>
      </w:r>
      <w:r>
        <w:rPr>
          <w:rFonts w:hint="default" w:ascii="Times New Roman" w:hAnsi="Times New Roman" w:eastAsia="仿宋_GB2312"/>
          <w:sz w:val="28"/>
          <w:szCs w:val="28"/>
        </w:rPr>
        <w:t>期权交易。</w:t>
      </w:r>
    </w:p>
    <w:p w14:paraId="2928BBE8">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证券公司应当对个人投资者的基本情况、风险承受能力、相关投资经历、金融类资产状况、</w:t>
      </w:r>
      <w:r>
        <w:rPr>
          <w:rFonts w:ascii="Times New Roman" w:hAnsi="Times New Roman" w:eastAsia="仿宋_GB2312"/>
          <w:sz w:val="28"/>
          <w:szCs w:val="28"/>
        </w:rPr>
        <w:t>股票</w:t>
      </w:r>
      <w:r>
        <w:rPr>
          <w:rFonts w:hint="default" w:ascii="Times New Roman" w:hAnsi="Times New Roman" w:eastAsia="仿宋_GB2312"/>
          <w:sz w:val="28"/>
          <w:szCs w:val="28"/>
        </w:rPr>
        <w:t>期权知识水平等方面进行综合评估。证券公司可根据投资者适当性管理的相关规定，编制《股票期权投资者适当性综合评估表》（参考样表见附件</w:t>
      </w:r>
      <w:r>
        <w:rPr>
          <w:rFonts w:hint="eastAsia" w:ascii="Times New Roman" w:hAnsi="Times New Roman" w:eastAsia="仿宋_GB2312"/>
          <w:sz w:val="28"/>
          <w:szCs w:val="28"/>
          <w:lang w:eastAsia="zh-CN"/>
        </w:rPr>
        <w:t>二</w:t>
      </w:r>
      <w:r>
        <w:rPr>
          <w:rFonts w:hint="default" w:ascii="Times New Roman" w:hAnsi="Times New Roman" w:eastAsia="仿宋_GB2312"/>
          <w:sz w:val="28"/>
          <w:szCs w:val="28"/>
        </w:rPr>
        <w:t>）</w:t>
      </w:r>
      <w:r>
        <w:rPr>
          <w:rFonts w:hint="default" w:ascii="Times New Roman" w:hAnsi="Times New Roman" w:eastAsia="仿宋_GB2312" w:cs="Times New Roman"/>
          <w:color w:val="auto"/>
          <w:kern w:val="2"/>
          <w:sz w:val="28"/>
          <w:szCs w:val="28"/>
        </w:rPr>
        <w:t>。</w:t>
      </w:r>
      <w:r>
        <w:rPr>
          <w:rFonts w:hint="default" w:ascii="Times New Roman" w:hAnsi="Times New Roman" w:eastAsia="仿宋_GB2312"/>
          <w:sz w:val="28"/>
          <w:szCs w:val="28"/>
        </w:rPr>
        <w:t>该表只需经办人及证券公司营业部负责人或其授权人签字确认即可。在审批流程中证券公司可以使用电子签章；有完备电子流程的，上述人员无需在纸面文件上签名。综合评估分数低于证券公司设定分值的，证券公司不得为其办理开户。证券公司应当向客户明确告知综合评估结果，提示其审慎参与</w:t>
      </w:r>
      <w:r>
        <w:rPr>
          <w:rFonts w:ascii="Times New Roman" w:hAnsi="Times New Roman" w:eastAsia="仿宋_GB2312"/>
          <w:sz w:val="28"/>
          <w:szCs w:val="28"/>
        </w:rPr>
        <w:t>股票</w:t>
      </w:r>
      <w:r>
        <w:rPr>
          <w:rFonts w:hint="default" w:ascii="Times New Roman" w:hAnsi="Times New Roman" w:eastAsia="仿宋_GB2312"/>
          <w:sz w:val="28"/>
          <w:szCs w:val="28"/>
        </w:rPr>
        <w:t>期权交易，并对所做提示记录留存。</w:t>
      </w:r>
    </w:p>
    <w:p w14:paraId="28CB5442">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证券公司应当要求投资者进行现场开户，试点期间不得采取见证开户、网上开户及其他开户方式。</w:t>
      </w:r>
    </w:p>
    <w:p w14:paraId="745D4528">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本着“在哪里开户，由哪里负责适当性评估”的基本原则，期货公司IB介绍开户的投资者，其适当性管理由投资者开户所在证券公司负责。</w:t>
      </w:r>
    </w:p>
    <w:p w14:paraId="3A49CE16">
      <w:pPr>
        <w:ind w:firstLine="560" w:firstLineChars="200"/>
        <w:rPr>
          <w:rFonts w:hint="default" w:ascii="Times New Roman" w:hAnsi="Times New Roman" w:eastAsia="仿宋_GB2312"/>
          <w:sz w:val="28"/>
          <w:szCs w:val="28"/>
        </w:rPr>
      </w:pPr>
      <w:r>
        <w:rPr>
          <w:rFonts w:hint="eastAsia" w:ascii="仿宋_GB2312" w:hAnsi="宋体" w:eastAsia="仿宋_GB2312"/>
          <w:color w:val="000000"/>
          <w:sz w:val="28"/>
          <w:szCs w:val="24"/>
        </w:rPr>
        <w:t>对已开立</w:t>
      </w:r>
      <w:r>
        <w:rPr>
          <w:rFonts w:hint="eastAsia" w:ascii="仿宋_GB2312" w:hAnsi="宋体" w:eastAsia="仿宋_GB2312"/>
          <w:color w:val="000000"/>
          <w:sz w:val="28"/>
          <w:szCs w:val="24"/>
          <w:lang w:eastAsia="zh-CN"/>
        </w:rPr>
        <w:t>深</w:t>
      </w:r>
      <w:r>
        <w:rPr>
          <w:rFonts w:hint="eastAsia" w:ascii="仿宋_GB2312" w:hAnsi="宋体" w:eastAsia="仿宋_GB2312"/>
          <w:color w:val="000000"/>
          <w:sz w:val="28"/>
          <w:szCs w:val="24"/>
        </w:rPr>
        <w:t>市衍生品合约账户，且不存在严重不良诚信记录，不存在法律、法规、规章和本所业务规则禁止或者限制从事股票期权交易的情形要求的投资者，视同通过适当性综合评估，</w:t>
      </w:r>
      <w:r>
        <w:rPr>
          <w:rFonts w:hint="eastAsia" w:ascii="仿宋_GB2312" w:hAnsi="宋体" w:eastAsia="仿宋_GB2312"/>
          <w:color w:val="000000"/>
          <w:sz w:val="28"/>
          <w:szCs w:val="24"/>
          <w:lang w:val="en-US" w:eastAsia="zh-CN"/>
        </w:rPr>
        <w:t>证券</w:t>
      </w:r>
      <w:r>
        <w:rPr>
          <w:rFonts w:hint="eastAsia" w:ascii="仿宋_GB2312" w:hAnsi="宋体" w:eastAsia="仿宋_GB2312"/>
          <w:color w:val="000000"/>
          <w:sz w:val="28"/>
          <w:szCs w:val="24"/>
        </w:rPr>
        <w:t>公司无需再为其制作《股票期权投资者适当性综合评估表》。</w:t>
      </w:r>
    </w:p>
    <w:p w14:paraId="7E3AEC07">
      <w:pPr>
        <w:ind w:firstLine="560" w:firstLineChars="200"/>
        <w:jc w:val="both"/>
        <w:outlineLvl w:val="1"/>
        <w:rPr>
          <w:rFonts w:ascii="Times New Roman" w:hAnsi="Times New Roman" w:eastAsia="黑体"/>
          <w:sz w:val="28"/>
          <w:szCs w:val="28"/>
        </w:rPr>
      </w:pPr>
      <w:bookmarkStart w:id="128" w:name="_Toc215740285"/>
      <w:bookmarkStart w:id="129" w:name="_Toc19277"/>
      <w:bookmarkStart w:id="130" w:name="_Toc21860"/>
      <w:bookmarkStart w:id="131" w:name="_Toc23947141"/>
      <w:bookmarkStart w:id="132" w:name="_Toc408749985"/>
      <w:bookmarkStart w:id="133" w:name="_Toc406438890"/>
      <w:bookmarkStart w:id="134" w:name="_Toc3673"/>
      <w:bookmarkStart w:id="135" w:name="_Toc452017006"/>
      <w:r>
        <w:rPr>
          <w:rFonts w:hint="eastAsia" w:ascii="Times New Roman" w:hAnsi="Times New Roman" w:eastAsia="黑体"/>
          <w:sz w:val="28"/>
          <w:szCs w:val="28"/>
        </w:rPr>
        <w:t>三、</w:t>
      </w:r>
      <w:r>
        <w:rPr>
          <w:rFonts w:ascii="Times New Roman" w:hAnsi="Times New Roman" w:eastAsia="黑体"/>
          <w:sz w:val="28"/>
          <w:szCs w:val="28"/>
        </w:rPr>
        <w:t>股票</w:t>
      </w:r>
      <w:r>
        <w:rPr>
          <w:rFonts w:hint="eastAsia" w:ascii="Times New Roman" w:hAnsi="Times New Roman" w:eastAsia="黑体"/>
          <w:sz w:val="28"/>
          <w:szCs w:val="28"/>
        </w:rPr>
        <w:t>期权知识测试</w:t>
      </w:r>
      <w:bookmarkEnd w:id="128"/>
      <w:bookmarkEnd w:id="129"/>
      <w:bookmarkEnd w:id="130"/>
      <w:bookmarkEnd w:id="131"/>
      <w:bookmarkEnd w:id="132"/>
      <w:bookmarkEnd w:id="133"/>
      <w:bookmarkEnd w:id="134"/>
      <w:bookmarkEnd w:id="135"/>
    </w:p>
    <w:p w14:paraId="62973A98">
      <w:pPr>
        <w:spacing w:line="240" w:lineRule="auto"/>
        <w:ind w:firstLine="560" w:firstLineChars="200"/>
        <w:rPr>
          <w:rFonts w:ascii="Times New Roman" w:hAnsi="Times New Roman" w:eastAsia="楷体_GB2312"/>
          <w:color w:val="auto"/>
          <w:sz w:val="28"/>
          <w:szCs w:val="28"/>
        </w:rPr>
      </w:pPr>
      <w:r>
        <w:rPr>
          <w:rFonts w:hint="default" w:ascii="Times New Roman" w:hAnsi="Times New Roman" w:eastAsia="楷体_GB2312"/>
          <w:color w:val="auto"/>
          <w:sz w:val="28"/>
          <w:szCs w:val="28"/>
        </w:rPr>
        <w:t>（一）考试要求</w:t>
      </w:r>
    </w:p>
    <w:p w14:paraId="584948F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证券公司可根据本公司实际情况及业务规划，在部分或全部分支机构开设</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期权知识测试考场。拟开设考场的分支机构应当按要求设置“专区、专人、专机”。公司总部对分支机构准备情况验收合格后，方可通过该分支机构组织投资者</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期权知识测试。</w:t>
      </w:r>
    </w:p>
    <w:p w14:paraId="10623F2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“专区”：在营业部设置相对独立的专门区域用于投资者测试，场地大小可视营业场所实际情况确定。专区内应张贴考试过程及纪律要求。“专人”：应配备专门的</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期权工作人员或客服人员组织测试。上述人员应具备一定的</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期权知识水平，同时熟悉测试组织要求和流程。客户开发人员不得兼任测试组织人员。“专机”：应配备专门电脑，其配置应保证投资者顺畅完成在线测试。</w:t>
      </w:r>
    </w:p>
    <w:p w14:paraId="4A366F6A">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（二）考试纪律</w:t>
      </w:r>
    </w:p>
    <w:p w14:paraId="1541B5B8">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应当负责核对投资者身份证明文件，确认投资者本人独立、自主完成考试。投资者在规定的考试时间内不得查阅任何参考资料（包括但不限于印刷资料、手机、电脑等渠道），不得向营业部监考工作人员询问与考试内容有关的信息。一旦发现作弊、替考等现象，本所将认定考试成绩无效并采取相关自律监管措施。</w:t>
      </w:r>
    </w:p>
    <w:p w14:paraId="6588D6A5">
      <w:pPr>
        <w:ind w:firstLine="560" w:firstLineChars="200"/>
        <w:rPr>
          <w:rFonts w:ascii="Times New Roman" w:hAnsi="Times New Roman" w:eastAsia="楷体_GB2312"/>
          <w:color w:val="auto"/>
          <w:sz w:val="28"/>
          <w:szCs w:val="28"/>
        </w:rPr>
      </w:pPr>
      <w:r>
        <w:rPr>
          <w:rFonts w:hint="default" w:ascii="Times New Roman" w:hAnsi="Times New Roman" w:eastAsia="楷体_GB2312"/>
          <w:b w:val="0"/>
          <w:bCs w:val="0"/>
          <w:color w:val="auto"/>
          <w:sz w:val="28"/>
          <w:szCs w:val="28"/>
        </w:rPr>
        <w:t>（三）考试录像</w:t>
      </w:r>
    </w:p>
    <w:p w14:paraId="05BC5883">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本所对</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资者知识测试期间的录像不做强制要求，但通过考试的投资者须朗读或抄写以下内容：“本人承诺，期权知识测试由本人独立、自主完成，本人对考试成绩负责”。证券公司须对此进行录像或拍照存档。参加交易所集中组织的</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期权培训并现场进行知识测试的投资者，可以免去此朗读抄写环节。</w:t>
      </w:r>
    </w:p>
    <w:p w14:paraId="76737BAE">
      <w:pPr>
        <w:ind w:firstLine="560" w:firstLineChars="200"/>
        <w:rPr>
          <w:rFonts w:ascii="Times New Roman" w:hAnsi="Times New Roman" w:eastAsia="楷体_GB2312"/>
          <w:color w:val="auto"/>
          <w:sz w:val="28"/>
          <w:szCs w:val="28"/>
        </w:rPr>
      </w:pPr>
      <w:r>
        <w:rPr>
          <w:rFonts w:hint="default" w:ascii="Times New Roman" w:hAnsi="Times New Roman" w:eastAsia="楷体_GB2312"/>
          <w:b w:val="0"/>
          <w:bCs w:val="0"/>
          <w:color w:val="auto"/>
          <w:sz w:val="28"/>
          <w:szCs w:val="28"/>
        </w:rPr>
        <w:t>（四）考试形式</w:t>
      </w:r>
    </w:p>
    <w:p w14:paraId="75C224C3">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个人</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期权投资者知识测试形式分为逐级考试和综合卷考试。</w:t>
      </w:r>
    </w:p>
    <w:p w14:paraId="536702C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对于选择逐级考试的个人投资者，参加并通过一级考试后，才能参加二级考试；参加并通过一级、二级考试后，才能参加三级考试。对于每个级别的考试，投资者均可多次参加，直至成绩合格。</w:t>
      </w:r>
    </w:p>
    <w:p w14:paraId="3726C1A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对于选择综合</w:t>
      </w:r>
      <w:r>
        <w:rPr>
          <w:rFonts w:hint="default" w:ascii="Times New Roman" w:hAnsi="Times New Roman" w:eastAsia="仿宋_GB2312" w:cs="Times New Roman"/>
          <w:color w:val="auto"/>
          <w:sz w:val="28"/>
          <w:szCs w:val="28"/>
        </w:rPr>
        <w:t>卷</w:t>
      </w:r>
      <w:r>
        <w:rPr>
          <w:rFonts w:hint="default" w:ascii="Times New Roman" w:hAnsi="Times New Roman" w:eastAsia="仿宋_GB2312"/>
          <w:color w:val="auto"/>
          <w:sz w:val="28"/>
          <w:szCs w:val="28"/>
        </w:rPr>
        <w:t>考试的个人投资者，也可多次参加，成绩合格者直接成为三级投资者。</w:t>
      </w:r>
    </w:p>
    <w:p w14:paraId="3C90A124">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普通机构投资者相关业务人员须参加机构投资者</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期权知识测试。</w:t>
      </w:r>
    </w:p>
    <w:p w14:paraId="381B2CCF">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（五）考试题目范围与数量</w:t>
      </w:r>
    </w:p>
    <w:p w14:paraId="178523C2">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个人</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资者知识测试范围为《上海证券交易所期权投资者知识测试辅导读本》第一章、第二章、第三章、第四章。一级考试：共20题，每题5分，覆盖第一章与第二章，其中第一章共12题，第二章共8题；二级考试，共10题，每题10分，覆盖第三章；三级考试，共10题，每题10分，覆盖第四章；综合卷考试分为三个部分，共20题，每题5分。第一部分为第一章与第二章，共10题，其中第一章共6题、第二章共4题；第二部分为第三章，共5题；第三部分为第四章，共5题。</w:t>
      </w:r>
    </w:p>
    <w:p w14:paraId="6E73A6B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普通机构投资者相关业务人员测试范围为第一章至第五章内容。</w:t>
      </w:r>
    </w:p>
    <w:p w14:paraId="606919FC">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（六）通过标准与考试时长</w:t>
      </w:r>
    </w:p>
    <w:p w14:paraId="01E8F0D3">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逐级考试中各级考试总分100分，时间为20分钟，70分为合格。</w:t>
      </w:r>
    </w:p>
    <w:p w14:paraId="35044BF6">
      <w:pPr>
        <w:ind w:firstLine="560" w:firstLineChars="200"/>
        <w:rPr>
          <w:rFonts w:ascii="Times New Roman" w:hAnsi="Times New Roman" w:eastAsia="仿宋_GB2312"/>
          <w:color w:val="auto"/>
          <w:sz w:val="28"/>
          <w:szCs w:val="28"/>
        </w:rPr>
      </w:pPr>
      <w:r>
        <w:rPr>
          <w:rFonts w:hint="default" w:ascii="Times New Roman" w:hAnsi="Times New Roman" w:eastAsia="仿宋_GB2312"/>
          <w:sz w:val="28"/>
          <w:szCs w:val="28"/>
        </w:rPr>
        <w:t>综合卷考试总分100分，时间为30分钟，总分不低于70分，且各部分正确率不低于</w:t>
      </w:r>
      <w:r>
        <w:rPr>
          <w:rFonts w:hint="default" w:ascii="Times New Roman" w:hAnsi="Times New Roman" w:eastAsia="仿宋_GB2312"/>
          <w:color w:val="auto"/>
          <w:sz w:val="28"/>
          <w:szCs w:val="28"/>
        </w:rPr>
        <w:t>60%为合格（即第一部分答对不少于6题，第二部分答对不少于3题，第三部分答对不少于3题）。</w:t>
      </w:r>
    </w:p>
    <w:p w14:paraId="324A28EE">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普通机构投资者相关业务人员</w:t>
      </w:r>
      <w:r>
        <w:rPr>
          <w:rFonts w:ascii="Times New Roman" w:hAnsi="Times New Roman" w:eastAsia="仿宋_GB2312"/>
          <w:sz w:val="28"/>
          <w:szCs w:val="28"/>
        </w:rPr>
        <w:t>股票</w:t>
      </w:r>
      <w:r>
        <w:rPr>
          <w:rFonts w:hint="default" w:ascii="Times New Roman" w:hAnsi="Times New Roman" w:eastAsia="仿宋_GB2312"/>
          <w:sz w:val="28"/>
          <w:szCs w:val="28"/>
        </w:rPr>
        <w:t>期权知识测试总分100分，时间为90分钟，80分为及格。</w:t>
      </w:r>
    </w:p>
    <w:p w14:paraId="1A3960CA">
      <w:pPr>
        <w:ind w:firstLine="560" w:firstLineChars="200"/>
        <w:outlineLvl w:val="1"/>
        <w:rPr>
          <w:rFonts w:ascii="Times New Roman" w:hAnsi="Times New Roman" w:eastAsia="黑体"/>
          <w:sz w:val="28"/>
          <w:szCs w:val="28"/>
        </w:rPr>
      </w:pPr>
      <w:bookmarkStart w:id="136" w:name="_Toc406438891"/>
      <w:bookmarkStart w:id="137" w:name="_Toc6908"/>
      <w:bookmarkStart w:id="138" w:name="_Toc215740286"/>
      <w:bookmarkStart w:id="139" w:name="_Toc9870"/>
      <w:bookmarkStart w:id="140" w:name="_Toc452017007"/>
      <w:bookmarkStart w:id="141" w:name="_Toc15423"/>
      <w:bookmarkStart w:id="142" w:name="_Toc408749986"/>
      <w:bookmarkStart w:id="143" w:name="_Toc23947142"/>
      <w:r>
        <w:rPr>
          <w:rFonts w:hint="eastAsia" w:ascii="Times New Roman" w:hAnsi="Times New Roman" w:eastAsia="黑体"/>
          <w:sz w:val="28"/>
          <w:szCs w:val="28"/>
        </w:rPr>
        <w:t>四、投资者分级管理</w:t>
      </w:r>
      <w:bookmarkEnd w:id="136"/>
      <w:bookmarkEnd w:id="137"/>
      <w:bookmarkEnd w:id="138"/>
      <w:bookmarkEnd w:id="139"/>
      <w:bookmarkEnd w:id="140"/>
      <w:bookmarkEnd w:id="141"/>
      <w:bookmarkEnd w:id="142"/>
      <w:bookmarkEnd w:id="143"/>
    </w:p>
    <w:p w14:paraId="5C23E19B">
      <w:pPr>
        <w:ind w:firstLine="560" w:firstLineChars="200"/>
        <w:rPr>
          <w:rFonts w:ascii="Times New Roman" w:hAnsi="Times New Roman" w:eastAsia="楷体_GB2312"/>
          <w:b w:val="0"/>
          <w:sz w:val="28"/>
          <w:szCs w:val="28"/>
        </w:rPr>
      </w:pPr>
      <w:bookmarkStart w:id="144" w:name="_Toc406438892"/>
      <w:r>
        <w:rPr>
          <w:rFonts w:hint="default" w:ascii="Times New Roman" w:hAnsi="Times New Roman" w:eastAsia="楷体_GB2312"/>
          <w:b w:val="0"/>
          <w:sz w:val="28"/>
          <w:szCs w:val="28"/>
        </w:rPr>
        <w:t>（一）交易权限</w:t>
      </w:r>
      <w:bookmarkEnd w:id="144"/>
    </w:p>
    <w:p w14:paraId="5175146C">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个人投资者、普通机构投资者、专业机构投资者的交易权限参见《上海证券交易所股票期权试点投资者适当性管理指引》。</w:t>
      </w:r>
    </w:p>
    <w:p w14:paraId="40CED472">
      <w:pPr>
        <w:ind w:firstLine="560" w:firstLineChars="200"/>
        <w:rPr>
          <w:rFonts w:ascii="Times New Roman" w:hAnsi="Times New Roman" w:eastAsia="楷体_GB2312"/>
          <w:b w:val="0"/>
          <w:sz w:val="28"/>
          <w:szCs w:val="28"/>
        </w:rPr>
      </w:pPr>
      <w:bookmarkStart w:id="145" w:name="_Toc406438893"/>
      <w:r>
        <w:rPr>
          <w:rFonts w:hint="default" w:ascii="Times New Roman" w:hAnsi="Times New Roman" w:eastAsia="楷体_GB2312"/>
          <w:b w:val="0"/>
          <w:sz w:val="28"/>
          <w:szCs w:val="28"/>
        </w:rPr>
        <w:t>（二）交易权限的申请条件</w:t>
      </w:r>
      <w:bookmarkEnd w:id="145"/>
    </w:p>
    <w:p w14:paraId="4C3005BB">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证券公司为投资者设置的交易权限不能超出为其评定的交易级别。证券公司应根据投资者交易权限的分级结果，对投资者的</w:t>
      </w:r>
      <w:r>
        <w:rPr>
          <w:rFonts w:ascii="Times New Roman" w:hAnsi="Times New Roman" w:eastAsia="仿宋_GB2312"/>
          <w:sz w:val="28"/>
          <w:szCs w:val="28"/>
        </w:rPr>
        <w:t>股票</w:t>
      </w:r>
      <w:r>
        <w:rPr>
          <w:rFonts w:hint="default" w:ascii="Times New Roman" w:hAnsi="Times New Roman" w:eastAsia="仿宋_GB2312"/>
          <w:sz w:val="28"/>
          <w:szCs w:val="28"/>
        </w:rPr>
        <w:t>期权交易委托指令进行前端控制，对不符合交易权限的交易委托予以拒绝和制止。</w:t>
      </w:r>
    </w:p>
    <w:p w14:paraId="4F4950A7">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个人投资者申请各级别交易权限，除了通过适当性管理综合评估，还应满足以下要求：</w:t>
      </w:r>
    </w:p>
    <w:p w14:paraId="76DF1A7A">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1.个人投资者申请各级别交易权限，应当在对应级别的知识测试中达到本所规定的合格分数。</w:t>
      </w:r>
    </w:p>
    <w:p w14:paraId="6C8C6A06">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2.个人投资者申请一级、二级或三级交易权限的，应具备交易权限相应的</w:t>
      </w:r>
      <w:r>
        <w:rPr>
          <w:rFonts w:ascii="Times New Roman" w:hAnsi="Times New Roman" w:eastAsia="仿宋_GB2312"/>
          <w:sz w:val="28"/>
          <w:szCs w:val="28"/>
        </w:rPr>
        <w:t>股票</w:t>
      </w:r>
      <w:r>
        <w:rPr>
          <w:rFonts w:hint="default" w:ascii="Times New Roman" w:hAnsi="Times New Roman" w:eastAsia="仿宋_GB2312"/>
          <w:sz w:val="28"/>
          <w:szCs w:val="28"/>
        </w:rPr>
        <w:t>期权模拟交易经历。</w:t>
      </w:r>
    </w:p>
    <w:p w14:paraId="57461D26">
      <w:pPr>
        <w:ind w:firstLine="560" w:firstLineChars="200"/>
        <w:outlineLvl w:val="1"/>
        <w:rPr>
          <w:rFonts w:ascii="Times New Roman" w:hAnsi="Times New Roman" w:eastAsia="黑体"/>
          <w:sz w:val="28"/>
          <w:szCs w:val="28"/>
        </w:rPr>
      </w:pPr>
      <w:bookmarkStart w:id="146" w:name="_Toc23947143"/>
      <w:bookmarkStart w:id="147" w:name="_Toc408749987"/>
      <w:bookmarkStart w:id="148" w:name="_Toc19077"/>
      <w:bookmarkStart w:id="149" w:name="_Toc215740287"/>
      <w:bookmarkStart w:id="150" w:name="_Toc452017008"/>
      <w:bookmarkStart w:id="151" w:name="_Toc8410"/>
      <w:bookmarkStart w:id="152" w:name="_Toc9603"/>
      <w:bookmarkStart w:id="153" w:name="_Toc406438894"/>
      <w:r>
        <w:rPr>
          <w:rFonts w:hint="eastAsia" w:ascii="Times New Roman" w:hAnsi="Times New Roman" w:eastAsia="黑体"/>
          <w:sz w:val="28"/>
          <w:szCs w:val="28"/>
        </w:rPr>
        <w:t>五、投资者适当性评估的动态持续管理</w:t>
      </w:r>
      <w:bookmarkEnd w:id="146"/>
      <w:bookmarkEnd w:id="147"/>
      <w:bookmarkEnd w:id="148"/>
      <w:bookmarkEnd w:id="149"/>
      <w:bookmarkEnd w:id="150"/>
      <w:bookmarkEnd w:id="151"/>
      <w:bookmarkEnd w:id="152"/>
      <w:bookmarkEnd w:id="153"/>
    </w:p>
    <w:p w14:paraId="2B05BC9B">
      <w:pPr>
        <w:ind w:firstLine="560" w:firstLineChars="200"/>
        <w:rPr>
          <w:rFonts w:ascii="Times New Roman" w:hAnsi="Times New Roman" w:eastAsia="楷体_GB2312"/>
          <w:b w:val="0"/>
          <w:sz w:val="28"/>
          <w:szCs w:val="28"/>
        </w:rPr>
      </w:pPr>
      <w:bookmarkStart w:id="154" w:name="_Toc406438895"/>
      <w:r>
        <w:rPr>
          <w:rFonts w:hint="default" w:ascii="Times New Roman" w:hAnsi="Times New Roman" w:eastAsia="楷体_GB2312"/>
          <w:b w:val="0"/>
          <w:sz w:val="28"/>
          <w:szCs w:val="28"/>
        </w:rPr>
        <w:t>（一）</w:t>
      </w:r>
      <w:r>
        <w:rPr>
          <w:rFonts w:ascii="Times New Roman" w:hAnsi="Times New Roman" w:eastAsia="楷体_GB2312"/>
          <w:sz w:val="28"/>
          <w:szCs w:val="28"/>
        </w:rPr>
        <w:t>股票</w:t>
      </w:r>
      <w:r>
        <w:rPr>
          <w:rFonts w:hint="default" w:ascii="Times New Roman" w:hAnsi="Times New Roman" w:eastAsia="楷体_GB2312"/>
          <w:b w:val="0"/>
          <w:sz w:val="28"/>
          <w:szCs w:val="28"/>
        </w:rPr>
        <w:t>期权投资者信息更新</w:t>
      </w:r>
      <w:bookmarkEnd w:id="154"/>
    </w:p>
    <w:p w14:paraId="12361B7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证券公司应当通过电话、电子邮件、网络、营业部现场交流等方式，动态跟踪投资者开立衍生品合约账户时提供的基本信息，持续了解投资者的基本情况、财务状况以及</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期权交易参与情况等信息。</w:t>
      </w:r>
    </w:p>
    <w:p w14:paraId="2D8F5CE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投资者提供的基本信息发生变化的，应及时告知所在证券公司。证券公司发现客户提供的联络方式等重要信息发生变化的，应当及时了解并更新。</w:t>
      </w:r>
    </w:p>
    <w:p w14:paraId="7C5ECB1E">
      <w:pPr>
        <w:ind w:firstLine="560" w:firstLineChars="200"/>
        <w:rPr>
          <w:rFonts w:ascii="Times New Roman" w:hAnsi="Times New Roman" w:eastAsia="楷体_GB2312"/>
          <w:b w:val="0"/>
          <w:sz w:val="28"/>
          <w:szCs w:val="28"/>
        </w:rPr>
      </w:pPr>
      <w:bookmarkStart w:id="155" w:name="_Toc406438896"/>
      <w:r>
        <w:rPr>
          <w:rFonts w:hint="default" w:ascii="Times New Roman" w:hAnsi="Times New Roman" w:eastAsia="楷体_GB2312"/>
          <w:b w:val="0"/>
          <w:sz w:val="28"/>
          <w:szCs w:val="28"/>
        </w:rPr>
        <w:t>（二）后续评估</w:t>
      </w:r>
      <w:bookmarkEnd w:id="155"/>
    </w:p>
    <w:p w14:paraId="67317F6D">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应当根据对客户（含个人投资者和普通机构投资者）情况的动态跟踪和持续了解，至少每两年对所有已开户的客户的交易情况、诚信记录、风险承受能力、资产状况等进行一次全面评估，判断其是否符合适当性管理以及交易权限分级管理的相关要求。评估结果应当予以记录留存20年。</w:t>
      </w:r>
    </w:p>
    <w:p w14:paraId="5E1FDA72">
      <w:pPr>
        <w:ind w:firstLine="560" w:firstLineChars="200"/>
        <w:rPr>
          <w:rFonts w:ascii="Times New Roman" w:hAnsi="Times New Roman" w:eastAsia="楷体_GB2312"/>
          <w:b w:val="0"/>
          <w:sz w:val="28"/>
          <w:szCs w:val="28"/>
        </w:rPr>
      </w:pPr>
      <w:bookmarkStart w:id="156" w:name="_Toc406438897"/>
      <w:r>
        <w:rPr>
          <w:rFonts w:hint="default" w:ascii="Times New Roman" w:hAnsi="Times New Roman" w:eastAsia="楷体_GB2312"/>
          <w:b w:val="0"/>
          <w:sz w:val="28"/>
          <w:szCs w:val="28"/>
        </w:rPr>
        <w:t>（三）交易权限调整</w:t>
      </w:r>
      <w:bookmarkEnd w:id="156"/>
    </w:p>
    <w:p w14:paraId="39838C3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证券公司根据投资者申请并调整其交易权限或者自行调低投资者交易权限的，应当就调整后可能增加的投资风险或者可能丧失的交易权限对投资者进行充分提示，并对相关告知和提示材料予以记录留存20年。</w:t>
      </w:r>
    </w:p>
    <w:p w14:paraId="276223B2">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1.调高交易权限</w:t>
      </w:r>
    </w:p>
    <w:p w14:paraId="20D40F8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投资者的知识测试成绩、</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模拟交易经历、风险承受能力以及金融类资产状况等发生变化，满足较高交易权限对应的资格要求的，可以向证券公司申请调高其交易权限。公司总部审核认定投资者的申请符合适当性管理要求的，可以对其交易权限进行调整。证券公司不得自行调高投资者交易权限。</w:t>
      </w:r>
    </w:p>
    <w:p w14:paraId="6B7CAE1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2.调低交易权限</w:t>
      </w:r>
    </w:p>
    <w:p w14:paraId="7EE7098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投资者可以向证券公司申请调低其交易权限，证券公司应当根据投资者要求，调低其交易权限至相应级别。</w:t>
      </w:r>
    </w:p>
    <w:p w14:paraId="273A216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发现投资者的实际情况已经不符合其交易权限对应的资格要求的，可以自行调低投资者交易权限，并应当至少提前三个交易日通过纸面或者电子形式告知投资者，明确提醒投资者因交易权限调低带来的后果，并</w:t>
      </w:r>
      <w:r>
        <w:rPr>
          <w:rFonts w:hint="eastAsia" w:ascii="Times New Roman" w:hAnsi="Times New Roman" w:eastAsia="仿宋_GB2312"/>
          <w:sz w:val="28"/>
          <w:szCs w:val="28"/>
        </w:rPr>
        <w:t>将相关</w:t>
      </w:r>
      <w:r>
        <w:rPr>
          <w:rFonts w:hint="default" w:ascii="Times New Roman" w:hAnsi="Times New Roman" w:eastAsia="仿宋_GB2312"/>
          <w:color w:val="auto"/>
          <w:sz w:val="28"/>
          <w:szCs w:val="28"/>
        </w:rPr>
        <w:t>记录留存20年。</w:t>
      </w:r>
    </w:p>
    <w:p w14:paraId="58AFCDFD">
      <w:pPr>
        <w:ind w:firstLine="560" w:firstLineChars="200"/>
        <w:outlineLvl w:val="1"/>
        <w:rPr>
          <w:rFonts w:ascii="Times New Roman" w:hAnsi="Times New Roman" w:eastAsia="黑体"/>
          <w:sz w:val="28"/>
          <w:szCs w:val="28"/>
        </w:rPr>
      </w:pPr>
      <w:bookmarkStart w:id="157" w:name="_Toc452017009"/>
      <w:bookmarkStart w:id="158" w:name="_Toc4776"/>
      <w:bookmarkStart w:id="159" w:name="_Toc406438898"/>
      <w:bookmarkStart w:id="160" w:name="_Toc25245"/>
      <w:bookmarkStart w:id="161" w:name="_Toc23947144"/>
      <w:bookmarkStart w:id="162" w:name="_Toc408749988"/>
      <w:bookmarkStart w:id="163" w:name="_Toc215740288"/>
      <w:bookmarkStart w:id="164" w:name="_Toc27487"/>
      <w:r>
        <w:rPr>
          <w:rFonts w:hint="eastAsia" w:ascii="Times New Roman" w:hAnsi="Times New Roman" w:eastAsia="黑体"/>
          <w:sz w:val="28"/>
          <w:szCs w:val="28"/>
        </w:rPr>
        <w:t>六、客户档案资料管理</w:t>
      </w:r>
      <w:bookmarkEnd w:id="157"/>
      <w:bookmarkEnd w:id="158"/>
      <w:bookmarkEnd w:id="159"/>
      <w:bookmarkEnd w:id="160"/>
      <w:bookmarkEnd w:id="161"/>
      <w:bookmarkEnd w:id="162"/>
      <w:bookmarkEnd w:id="163"/>
      <w:bookmarkEnd w:id="164"/>
    </w:p>
    <w:p w14:paraId="26B79968">
      <w:pPr>
        <w:ind w:firstLine="560" w:firstLineChars="200"/>
        <w:rPr>
          <w:rFonts w:hint="default" w:ascii="Times New Roman" w:hAnsi="Times New Roman" w:eastAsia="仿宋_GB2312"/>
          <w:sz w:val="28"/>
          <w:szCs w:val="28"/>
        </w:rPr>
      </w:pPr>
      <w:r>
        <w:rPr>
          <w:rFonts w:hint="default" w:ascii="Times New Roman" w:hAnsi="Times New Roman" w:eastAsia="仿宋_GB2312"/>
          <w:sz w:val="28"/>
          <w:szCs w:val="28"/>
        </w:rPr>
        <w:t>证券公司应根据相关规定要求对客户的股票期权档案资料进行有效管理，明确总部及分支机构的档案管理工作职责，满足安全、严格保密、合理存放的管理要求。</w:t>
      </w:r>
    </w:p>
    <w:p w14:paraId="3D19D85A">
      <w:pPr>
        <w:ind w:firstLine="560" w:firstLineChars="200"/>
        <w:rPr>
          <w:rFonts w:hint="default" w:ascii="Times New Roman" w:hAnsi="Times New Roman" w:eastAsia="仿宋_GB2312"/>
          <w:sz w:val="28"/>
          <w:szCs w:val="28"/>
        </w:rPr>
      </w:pPr>
      <w:r>
        <w:rPr>
          <w:rFonts w:ascii="Times New Roman" w:hAnsi="Times New Roman" w:eastAsia="仿宋_GB2312"/>
          <w:sz w:val="28"/>
          <w:szCs w:val="28"/>
        </w:rPr>
        <w:t>股票</w:t>
      </w:r>
      <w:r>
        <w:rPr>
          <w:rFonts w:hint="default" w:ascii="Times New Roman" w:hAnsi="Times New Roman" w:eastAsia="仿宋_GB2312"/>
          <w:sz w:val="28"/>
          <w:szCs w:val="28"/>
        </w:rPr>
        <w:t>期权客户档案资料包括但不限于客户申请开通股票期权业务时提交的相关资料、客户与证券公司签订的合同文本等相关材料、客户开立衍生品合约账户时所生成的各类文件资料等。所有相关资料妥善保管20年。</w:t>
      </w:r>
    </w:p>
    <w:p w14:paraId="58CD8FFE">
      <w:pPr>
        <w:ind w:firstLine="560" w:firstLineChars="200"/>
        <w:outlineLvl w:val="1"/>
        <w:rPr>
          <w:rFonts w:ascii="Times New Roman" w:hAnsi="Times New Roman" w:eastAsia="黑体"/>
          <w:sz w:val="28"/>
          <w:szCs w:val="28"/>
        </w:rPr>
      </w:pPr>
      <w:bookmarkStart w:id="165" w:name="_Toc23947145"/>
      <w:bookmarkStart w:id="166" w:name="_Toc10562"/>
      <w:bookmarkStart w:id="167" w:name="_Toc406438899"/>
      <w:bookmarkStart w:id="168" w:name="_Toc452017010"/>
      <w:bookmarkStart w:id="169" w:name="_Toc24362"/>
      <w:bookmarkStart w:id="170" w:name="_Toc30877"/>
      <w:bookmarkStart w:id="171" w:name="_Toc408749989"/>
      <w:bookmarkStart w:id="172" w:name="_Toc215740289"/>
      <w:r>
        <w:rPr>
          <w:rFonts w:hint="eastAsia" w:ascii="Times New Roman" w:hAnsi="Times New Roman" w:eastAsia="黑体"/>
          <w:sz w:val="28"/>
          <w:szCs w:val="28"/>
        </w:rPr>
        <w:t>七、本所持续监督管理</w:t>
      </w:r>
      <w:bookmarkEnd w:id="165"/>
      <w:bookmarkEnd w:id="166"/>
      <w:bookmarkEnd w:id="167"/>
      <w:bookmarkEnd w:id="168"/>
      <w:bookmarkEnd w:id="169"/>
      <w:bookmarkEnd w:id="170"/>
      <w:bookmarkEnd w:id="171"/>
      <w:bookmarkEnd w:id="172"/>
    </w:p>
    <w:p w14:paraId="40F2C6BB">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本所将对证券公司的投资者适当性评估及分级管理进行持续监督管理，并从越级评估（为投资者评定的级别高于其知识测试级别或模拟交易经历对应级别）、越级交易、信息报备、动态更新、档案管理等多个方面，定期或不定期对证券公司的适当性评估及分级管理进行检查。如发现存在违反投资者适当性管理有关规定的，将根据相关规定进行处理。</w:t>
      </w:r>
    </w:p>
    <w:p w14:paraId="4278737C">
      <w:pPr>
        <w:widowControl/>
        <w:jc w:val="left"/>
        <w:rPr>
          <w:rFonts w:ascii="Times New Roman" w:hAnsi="Times New Roman" w:eastAsia="仿宋_GB2312"/>
          <w:color w:val="000000"/>
          <w:sz w:val="28"/>
          <w:szCs w:val="28"/>
        </w:rPr>
      </w:pPr>
      <w:r>
        <w:rPr>
          <w:rFonts w:ascii="Times New Roman" w:hAnsi="Times New Roman" w:eastAsia="仿宋_GB2312"/>
          <w:color w:val="000000"/>
          <w:sz w:val="28"/>
          <w:szCs w:val="28"/>
        </w:rPr>
        <w:br w:type="page"/>
      </w:r>
    </w:p>
    <w:p w14:paraId="30EF4A08">
      <w:pPr>
        <w:pStyle w:val="4"/>
        <w:spacing w:line="240" w:lineRule="auto"/>
        <w:jc w:val="center"/>
        <w:rPr>
          <w:rFonts w:hint="default" w:ascii="Times New Roman" w:hAnsi="Times New Roman" w:eastAsia="黑体"/>
          <w:kern w:val="2"/>
          <w:sz w:val="32"/>
          <w:szCs w:val="32"/>
        </w:rPr>
      </w:pPr>
      <w:bookmarkStart w:id="173" w:name="_Toc452017011"/>
      <w:bookmarkStart w:id="174" w:name="_Toc406439135"/>
      <w:bookmarkStart w:id="175" w:name="_Toc406436501"/>
      <w:bookmarkStart w:id="176" w:name="_Toc406438950"/>
      <w:bookmarkStart w:id="177" w:name="_Toc17396"/>
      <w:bookmarkStart w:id="178" w:name="_Toc403729901"/>
      <w:bookmarkStart w:id="179" w:name="_Toc15426"/>
      <w:bookmarkStart w:id="180" w:name="_Toc215740290"/>
      <w:bookmarkStart w:id="181" w:name="_Toc406438900"/>
      <w:bookmarkStart w:id="182" w:name="_Toc12341"/>
      <w:bookmarkStart w:id="183" w:name="_Toc408749990"/>
      <w:bookmarkStart w:id="184" w:name="_Toc23947146"/>
      <w:r>
        <w:rPr>
          <w:rFonts w:hint="default" w:ascii="Times New Roman" w:hAnsi="Times New Roman" w:eastAsia="黑体"/>
          <w:kern w:val="2"/>
          <w:sz w:val="32"/>
          <w:szCs w:val="32"/>
        </w:rPr>
        <w:t>第四章 开户管理</w:t>
      </w:r>
      <w:bookmarkEnd w:id="173"/>
      <w:bookmarkEnd w:id="174"/>
      <w:bookmarkEnd w:id="175"/>
      <w:bookmarkEnd w:id="176"/>
      <w:bookmarkEnd w:id="177"/>
      <w:bookmarkEnd w:id="178"/>
      <w:bookmarkEnd w:id="179"/>
      <w:bookmarkEnd w:id="180"/>
      <w:bookmarkEnd w:id="181"/>
      <w:bookmarkEnd w:id="182"/>
      <w:bookmarkEnd w:id="183"/>
      <w:bookmarkEnd w:id="184"/>
    </w:p>
    <w:p w14:paraId="6907738A">
      <w:pPr>
        <w:ind w:firstLine="560" w:firstLineChars="200"/>
        <w:outlineLvl w:val="1"/>
        <w:rPr>
          <w:rFonts w:ascii="Times New Roman" w:hAnsi="Times New Roman" w:eastAsia="黑体"/>
          <w:sz w:val="28"/>
          <w:szCs w:val="28"/>
        </w:rPr>
      </w:pPr>
      <w:bookmarkStart w:id="185" w:name="_Toc408749991"/>
      <w:bookmarkStart w:id="186" w:name="_Toc452017012"/>
      <w:bookmarkStart w:id="187" w:name="_Toc215740291"/>
      <w:bookmarkStart w:id="188" w:name="_Toc5565"/>
      <w:bookmarkStart w:id="189" w:name="_Toc22452"/>
      <w:bookmarkStart w:id="190" w:name="_Toc406438901"/>
      <w:bookmarkStart w:id="191" w:name="_Toc23947147"/>
      <w:bookmarkStart w:id="192" w:name="_Toc1139"/>
      <w:r>
        <w:rPr>
          <w:rFonts w:hint="eastAsia" w:ascii="Times New Roman" w:hAnsi="Times New Roman" w:eastAsia="黑体"/>
          <w:sz w:val="28"/>
          <w:szCs w:val="28"/>
        </w:rPr>
        <w:t>一、账户体系</w:t>
      </w:r>
      <w:bookmarkEnd w:id="185"/>
      <w:bookmarkEnd w:id="186"/>
      <w:bookmarkEnd w:id="187"/>
      <w:bookmarkEnd w:id="188"/>
      <w:bookmarkEnd w:id="189"/>
      <w:bookmarkEnd w:id="190"/>
      <w:bookmarkEnd w:id="191"/>
      <w:bookmarkEnd w:id="192"/>
    </w:p>
    <w:p w14:paraId="67173C03">
      <w:pPr>
        <w:ind w:firstLine="560" w:firstLineChars="200"/>
        <w:rPr>
          <w:rFonts w:ascii="Times New Roman" w:hAnsi="Times New Roman" w:eastAsia="楷体_GB2312"/>
          <w:b w:val="0"/>
          <w:sz w:val="28"/>
          <w:szCs w:val="28"/>
        </w:rPr>
      </w:pPr>
      <w:bookmarkStart w:id="193" w:name="_Toc406438902"/>
      <w:r>
        <w:rPr>
          <w:rFonts w:hint="default" w:ascii="Times New Roman" w:hAnsi="Times New Roman" w:eastAsia="楷体_GB2312"/>
          <w:b w:val="0"/>
          <w:sz w:val="28"/>
          <w:szCs w:val="28"/>
        </w:rPr>
        <w:t>（一）客户需要开立的股票期权交易相关账户</w:t>
      </w:r>
      <w:bookmarkEnd w:id="193"/>
    </w:p>
    <w:p w14:paraId="629FF95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衍生品合约账户。投资者向证券公司申请开立衍生品合约账户，证券公司向中国结算上海分公司报送账户注册资料等信息，并申请配发编号。中国结算根据证券公司提交的配号申请，按照证券账户号码加三位固定数字“888”的配号规则发放合约账户号码。</w:t>
      </w:r>
    </w:p>
    <w:p w14:paraId="29040509">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衍生品合约账户与投资者在证券公司开立的证券账户一一对应，用于客户</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期权交易、行权申报和记录</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期权合约持仓信息。</w:t>
      </w:r>
    </w:p>
    <w:p w14:paraId="3F6DE3F2">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2.股票期权保证金账户。股票期权保证金账户用于权利金和行权资金的交收及股票期权保证金的存放。</w:t>
      </w:r>
    </w:p>
    <w:p w14:paraId="7905C57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3.银行结算账户。银行结算账户用于与股票期权保证金账户之间进行资金划转。</w:t>
      </w:r>
    </w:p>
    <w:p w14:paraId="4E0CE95D">
      <w:pPr>
        <w:ind w:firstLine="560" w:firstLineChars="200"/>
        <w:rPr>
          <w:rFonts w:ascii="Times New Roman" w:hAnsi="Times New Roman" w:eastAsia="楷体_GB2312"/>
          <w:b w:val="0"/>
          <w:sz w:val="28"/>
          <w:szCs w:val="28"/>
        </w:rPr>
      </w:pPr>
      <w:bookmarkStart w:id="194" w:name="_Toc406438903"/>
      <w:r>
        <w:rPr>
          <w:rFonts w:hint="default" w:ascii="Times New Roman" w:hAnsi="Times New Roman" w:eastAsia="楷体_GB2312"/>
          <w:b w:val="0"/>
          <w:sz w:val="28"/>
          <w:szCs w:val="28"/>
        </w:rPr>
        <w:t>（二）证券公司需要开立的账户</w:t>
      </w:r>
      <w:bookmarkEnd w:id="194"/>
    </w:p>
    <w:p w14:paraId="2A09E3A0">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1.客户股票期权资金保证金账户。证券公司应当以自己的名义，向中国结算申请开立股票期权资金保证金账户，用于存放</w:t>
      </w:r>
      <w:r>
        <w:rPr>
          <w:rFonts w:hint="default" w:ascii="Times New Roman" w:hAnsi="Times New Roman" w:eastAsia="仿宋_GB2312"/>
          <w:color w:val="auto"/>
          <w:sz w:val="28"/>
          <w:szCs w:val="28"/>
          <w:highlight w:val="none"/>
        </w:rPr>
        <w:t>其客户</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期权交易的权利金、行权资金、以现金形式提交的保证金。</w:t>
      </w:r>
    </w:p>
    <w:p w14:paraId="36E1E35B">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2.客户衍生品结算资金汇总账户。证券公司在结算银行开立客户衍生品结算资金汇总账户。</w:t>
      </w:r>
    </w:p>
    <w:p w14:paraId="678AD855">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3.证券处置账户。证券公司在中国结算申请开立证券处置账户。如客户出现行权资金交收违约，证券公司可以通过交易系统发出指令，委托中国结算将客户行权应得标的证券划付到其证券处置账户内，并可根据相关规定或与客户的约定对证券处置账户内的客户行权标的证券予以处置。</w:t>
      </w:r>
    </w:p>
    <w:p w14:paraId="09B7AF85">
      <w:pPr>
        <w:ind w:firstLine="560" w:firstLineChars="200"/>
        <w:outlineLvl w:val="1"/>
        <w:rPr>
          <w:rFonts w:ascii="Times New Roman" w:hAnsi="Times New Roman" w:eastAsia="黑体"/>
          <w:kern w:val="0"/>
          <w:sz w:val="28"/>
          <w:szCs w:val="28"/>
        </w:rPr>
      </w:pPr>
      <w:bookmarkStart w:id="195" w:name="_Toc23947148"/>
      <w:bookmarkStart w:id="196" w:name="_Toc406438904"/>
      <w:bookmarkStart w:id="197" w:name="_Toc215740292"/>
      <w:bookmarkStart w:id="198" w:name="_Toc452017013"/>
      <w:bookmarkStart w:id="199" w:name="_Toc408749992"/>
      <w:r>
        <w:rPr>
          <w:rFonts w:hint="eastAsia" w:ascii="Times New Roman" w:hAnsi="Times New Roman" w:eastAsia="黑体"/>
          <w:kern w:val="0"/>
          <w:sz w:val="28"/>
          <w:szCs w:val="28"/>
        </w:rPr>
        <w:t>二、衍生品合约账户的开立与管理</w:t>
      </w:r>
      <w:bookmarkEnd w:id="195"/>
      <w:bookmarkEnd w:id="196"/>
      <w:bookmarkEnd w:id="197"/>
      <w:bookmarkEnd w:id="198"/>
      <w:bookmarkEnd w:id="199"/>
    </w:p>
    <w:p w14:paraId="772B27A4">
      <w:pPr>
        <w:ind w:firstLine="560" w:firstLineChars="200"/>
        <w:jc w:val="both"/>
        <w:rPr>
          <w:rFonts w:hint="default" w:ascii="Times New Roman" w:hAnsi="Times New Roman" w:eastAsia="楷体_GB2312"/>
          <w:b w:val="0"/>
          <w:bCs w:val="0"/>
          <w:color w:val="auto"/>
          <w:kern w:val="2"/>
          <w:sz w:val="28"/>
          <w:szCs w:val="28"/>
        </w:rPr>
      </w:pPr>
      <w:r>
        <w:rPr>
          <w:rFonts w:hint="default" w:ascii="Times New Roman" w:hAnsi="Times New Roman" w:eastAsia="楷体_GB2312"/>
          <w:b w:val="0"/>
          <w:bCs w:val="0"/>
          <w:color w:val="auto"/>
          <w:kern w:val="2"/>
          <w:sz w:val="28"/>
          <w:szCs w:val="28"/>
        </w:rPr>
        <w:t>（一）个人投资者股票期权开户</w:t>
      </w:r>
    </w:p>
    <w:p w14:paraId="6BFCA284">
      <w:pPr>
        <w:ind w:firstLine="560" w:firstLineChars="200"/>
        <w:jc w:val="both"/>
        <w:rPr>
          <w:rFonts w:hint="default" w:ascii="Times New Roman" w:hAnsi="Times New Roman" w:eastAsia="仿宋_GB2312"/>
          <w:b w:val="0"/>
          <w:color w:val="auto"/>
          <w:kern w:val="2"/>
          <w:sz w:val="28"/>
          <w:szCs w:val="28"/>
        </w:rPr>
      </w:pPr>
      <w:r>
        <w:rPr>
          <w:rFonts w:hint="default" w:ascii="Times New Roman" w:hAnsi="Times New Roman" w:eastAsia="仿宋_GB2312"/>
          <w:b w:val="0"/>
          <w:color w:val="auto"/>
          <w:kern w:val="2"/>
          <w:sz w:val="28"/>
          <w:szCs w:val="28"/>
        </w:rPr>
        <w:t>1.投资者开户需要准备的资料</w:t>
      </w:r>
    </w:p>
    <w:p w14:paraId="4127A397">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1.1 身份证</w:t>
      </w:r>
    </w:p>
    <w:p w14:paraId="461568D1">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1.2 融资融券业务账户证明（已开立融资融券账户投资者）或期货公司出具的金融期货交易结算单</w:t>
      </w:r>
    </w:p>
    <w:p w14:paraId="0A5B3583">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1.3 证券公司要求的其他材料</w:t>
      </w:r>
    </w:p>
    <w:p w14:paraId="34ABCDF7">
      <w:pPr>
        <w:ind w:firstLine="560" w:firstLineChars="200"/>
        <w:jc w:val="both"/>
        <w:rPr>
          <w:rFonts w:hint="default" w:ascii="Times New Roman" w:hAnsi="Times New Roman" w:eastAsia="仿宋_GB2312"/>
          <w:b w:val="0"/>
          <w:color w:val="auto"/>
          <w:kern w:val="2"/>
          <w:sz w:val="28"/>
          <w:szCs w:val="28"/>
        </w:rPr>
      </w:pPr>
      <w:r>
        <w:rPr>
          <w:rFonts w:hint="default" w:ascii="Times New Roman" w:hAnsi="Times New Roman" w:eastAsia="仿宋_GB2312"/>
          <w:b w:val="0"/>
          <w:color w:val="auto"/>
          <w:kern w:val="2"/>
          <w:sz w:val="28"/>
          <w:szCs w:val="28"/>
        </w:rPr>
        <w:t>2.营业部资格初审</w:t>
      </w:r>
    </w:p>
    <w:p w14:paraId="0B431D29">
      <w:pPr>
        <w:ind w:firstLine="560" w:firstLineChars="200"/>
        <w:jc w:val="both"/>
        <w:rPr>
          <w:rFonts w:hint="default" w:ascii="Times New Roman" w:hAnsi="Times New Roman" w:eastAsia="仿宋_GB2312"/>
          <w:b w:val="0"/>
          <w:color w:val="auto"/>
          <w:kern w:val="2"/>
          <w:sz w:val="28"/>
          <w:szCs w:val="28"/>
        </w:rPr>
      </w:pPr>
      <w:r>
        <w:rPr>
          <w:rFonts w:hint="default" w:ascii="Times New Roman" w:hAnsi="Times New Roman" w:eastAsia="仿宋_GB2312"/>
          <w:b w:val="0"/>
          <w:color w:val="auto"/>
          <w:kern w:val="2"/>
          <w:sz w:val="28"/>
          <w:szCs w:val="28"/>
        </w:rPr>
        <w:t>营业部根据本指南第三章投资者适当性管理的认定标准进行资格初审。</w:t>
      </w:r>
    </w:p>
    <w:p w14:paraId="05A112E6">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2.1核对投资者身份证明文件：必须投资者本人持有效证件临柜开户。</w:t>
      </w:r>
    </w:p>
    <w:p w14:paraId="078D10EC">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2.2核对上海证券交易所Ａ股证券账户：</w:t>
      </w:r>
    </w:p>
    <w:p w14:paraId="3DFE751F">
      <w:pPr>
        <w:ind w:firstLine="560" w:firstLineChars="200"/>
        <w:jc w:val="both"/>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1</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若在本公司已有A股账户，核对通过；</w:t>
      </w:r>
    </w:p>
    <w:p w14:paraId="041F5B08">
      <w:pPr>
        <w:ind w:firstLine="560" w:firstLineChars="200"/>
        <w:jc w:val="both"/>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2</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若无本公司A股账户，需首先开立A股账户。</w:t>
      </w:r>
    </w:p>
    <w:p w14:paraId="4CA8247E">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2.3核对托管资产。</w:t>
      </w:r>
    </w:p>
    <w:p w14:paraId="630C349E">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2.4核对交易经历。</w:t>
      </w:r>
    </w:p>
    <w:p w14:paraId="73062DF1">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2.5核对</w:t>
      </w:r>
      <w:r>
        <w:rPr>
          <w:rFonts w:ascii="Times New Roman" w:hAnsi="Times New Roman" w:eastAsia="仿宋_GB2312"/>
          <w:sz w:val="28"/>
          <w:szCs w:val="28"/>
        </w:rPr>
        <w:t>股票</w:t>
      </w:r>
      <w:r>
        <w:rPr>
          <w:rFonts w:hint="default" w:ascii="Times New Roman" w:hAnsi="Times New Roman" w:eastAsia="仿宋_GB2312"/>
          <w:color w:val="auto"/>
          <w:kern w:val="2"/>
          <w:sz w:val="28"/>
          <w:szCs w:val="28"/>
        </w:rPr>
        <w:t>期权模拟交易经历。</w:t>
      </w:r>
    </w:p>
    <w:p w14:paraId="4E239C8C">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2.6核对知识测试成绩。</w:t>
      </w:r>
    </w:p>
    <w:p w14:paraId="218A6E26">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2.7评估客户风险承受能力。</w:t>
      </w:r>
    </w:p>
    <w:p w14:paraId="1B8363DB">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2.8核实投资者诚信记录。</w:t>
      </w:r>
    </w:p>
    <w:p w14:paraId="10695B30">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2.9完成适当性综合评估表。</w:t>
      </w:r>
    </w:p>
    <w:p w14:paraId="58C2FF9F">
      <w:pPr>
        <w:ind w:firstLine="560" w:firstLineChars="200"/>
        <w:jc w:val="both"/>
        <w:rPr>
          <w:rFonts w:hint="default" w:ascii="Times New Roman" w:hAnsi="Times New Roman" w:eastAsia="仿宋_GB2312"/>
          <w:b w:val="0"/>
          <w:bCs w:val="0"/>
          <w:color w:val="auto"/>
          <w:kern w:val="2"/>
          <w:sz w:val="28"/>
          <w:szCs w:val="28"/>
        </w:rPr>
      </w:pPr>
      <w:r>
        <w:rPr>
          <w:rFonts w:hint="default" w:ascii="Times New Roman" w:hAnsi="Times New Roman" w:eastAsia="仿宋_GB2312"/>
          <w:b w:val="0"/>
          <w:bCs w:val="0"/>
          <w:color w:val="auto"/>
          <w:kern w:val="2"/>
          <w:sz w:val="28"/>
          <w:szCs w:val="28"/>
        </w:rPr>
        <w:t>3.开户程序</w:t>
      </w:r>
    </w:p>
    <w:p w14:paraId="4A48579E">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3.1向客户解释风险揭示书及经纪合同的核心内容</w:t>
      </w:r>
    </w:p>
    <w:p w14:paraId="5CDB4D3D">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为提高效率，证券公司可在投资者临柜前将经纪合同、风险揭示书等相关开户资料提前发给投资者阅知，或提醒投资者认真阅读上述文件。各证券公司应在符合相关指引和通知要求的前提下，尽量缩短客户临柜开户时间，提高开户效率，提升客户体验。</w:t>
      </w:r>
    </w:p>
    <w:p w14:paraId="400FD584">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3.2投资者签署风险揭示书。</w:t>
      </w:r>
    </w:p>
    <w:p w14:paraId="5F110F92">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投资者按风险揭示书要求抄写或朗读承诺并签名，证券公司对投资者抄写或朗读承诺文字的过程进行拍照或录像存档。</w:t>
      </w:r>
    </w:p>
    <w:p w14:paraId="5411E4B5">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3.3</w:t>
      </w:r>
      <w:r>
        <w:rPr>
          <w:rFonts w:hint="default" w:ascii="Times New Roman" w:hAnsi="Times New Roman" w:eastAsia="仿宋_GB2312"/>
          <w:kern w:val="2"/>
          <w:sz w:val="28"/>
          <w:szCs w:val="28"/>
        </w:rPr>
        <w:t>投资者签署经纪合同。投资</w:t>
      </w:r>
      <w:r>
        <w:rPr>
          <w:rFonts w:hint="default" w:ascii="Times New Roman" w:hAnsi="Times New Roman" w:eastAsia="仿宋_GB2312"/>
          <w:color w:val="auto"/>
          <w:kern w:val="2"/>
          <w:sz w:val="28"/>
          <w:szCs w:val="28"/>
        </w:rPr>
        <w:t>者可以在通过相应等级知识测试并申请相应等级交易权限的同时，当场签署开户申请表、风险揭示书、经纪合同等开户必备文件，一次临柜完成开户相关文件的填写和签署。证券公司在完成后续审核之前，应当充分告知投资者开户相关文件需经证券公司完成后续审核后方可生效。</w:t>
      </w:r>
    </w:p>
    <w:p w14:paraId="31AF1B11">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3.4为投资者办理所有开户手续（包括密码设置等</w:t>
      </w:r>
      <w:r>
        <w:rPr>
          <w:rFonts w:ascii="Times New Roman" w:hAnsi="Times New Roman" w:eastAsia="仿宋_GB2312"/>
          <w:color w:val="auto"/>
          <w:kern w:val="2"/>
          <w:sz w:val="28"/>
          <w:szCs w:val="28"/>
        </w:rPr>
        <w:t>）</w:t>
      </w:r>
      <w:r>
        <w:rPr>
          <w:rFonts w:hint="default" w:ascii="Times New Roman" w:hAnsi="Times New Roman" w:eastAsia="仿宋_GB2312"/>
          <w:color w:val="auto"/>
          <w:kern w:val="2"/>
          <w:sz w:val="28"/>
          <w:szCs w:val="28"/>
        </w:rPr>
        <w:t>，但在总部完成审核前，账户暂不生效。</w:t>
      </w:r>
    </w:p>
    <w:p w14:paraId="5445F002">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3.5证券公司总部进行审核</w:t>
      </w:r>
    </w:p>
    <w:p w14:paraId="100BAD3A">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投资者适当性评估及交易权限分级等事宜经证券公司总部</w:t>
      </w:r>
      <w:r>
        <w:rPr>
          <w:rFonts w:ascii="Times New Roman" w:hAnsi="Times New Roman" w:eastAsia="仿宋_GB2312"/>
          <w:sz w:val="28"/>
          <w:szCs w:val="28"/>
        </w:rPr>
        <w:t>股票</w:t>
      </w:r>
      <w:r>
        <w:rPr>
          <w:rFonts w:hint="default" w:ascii="Times New Roman" w:hAnsi="Times New Roman" w:eastAsia="仿宋_GB2312"/>
          <w:color w:val="auto"/>
          <w:kern w:val="2"/>
          <w:sz w:val="28"/>
          <w:szCs w:val="28"/>
        </w:rPr>
        <w:t>期权经纪业务相关部门负责人或其授权人核准后，营业部可为投资者激活衍生品合约账户和股票期权保证金账户；未通过相关审核的，证券公司不得对开户相关文件进行签署，投资者此前签署的文件即予作废处理。</w:t>
      </w:r>
    </w:p>
    <w:p w14:paraId="111162BC">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3.6开户结果反馈，通知客户办理银衍签约</w:t>
      </w:r>
    </w:p>
    <w:p w14:paraId="76310F9C">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证券公司应当及时将审核及开户结果告知投资者，通知通过审核的投资者办理银衍签约。</w:t>
      </w:r>
    </w:p>
    <w:p w14:paraId="10C68496">
      <w:pPr>
        <w:spacing w:before="0" w:beforeLines="-2147483648" w:after="0" w:afterLines="-2147483648"/>
        <w:ind w:firstLine="560" w:firstLineChars="200"/>
        <w:jc w:val="both"/>
        <w:rPr>
          <w:rFonts w:hint="default" w:ascii="Times New Roman" w:hAnsi="Times New Roman" w:eastAsia="楷体_GB2312"/>
          <w:color w:val="auto"/>
          <w:kern w:val="2"/>
          <w:sz w:val="28"/>
          <w:szCs w:val="28"/>
        </w:rPr>
      </w:pPr>
      <w:r>
        <w:rPr>
          <w:rFonts w:hint="default" w:ascii="Times New Roman" w:hAnsi="Times New Roman" w:eastAsia="楷体_GB2312"/>
          <w:b w:val="0"/>
          <w:bCs w:val="0"/>
          <w:color w:val="auto"/>
          <w:kern w:val="2"/>
          <w:sz w:val="28"/>
          <w:szCs w:val="28"/>
        </w:rPr>
        <w:t>（二）机构投资者股票期权开户</w:t>
      </w:r>
    </w:p>
    <w:p w14:paraId="6E973DA2">
      <w:pPr>
        <w:ind w:firstLine="560" w:firstLineChars="200"/>
        <w:rPr>
          <w:rFonts w:hint="default" w:ascii="Times New Roman" w:hAnsi="Times New Roman" w:eastAsia="仿宋_GB2312"/>
          <w:b w:val="0"/>
          <w:bCs w:val="0"/>
          <w:color w:val="auto"/>
          <w:kern w:val="2"/>
          <w:sz w:val="28"/>
          <w:szCs w:val="28"/>
        </w:rPr>
      </w:pPr>
      <w:r>
        <w:rPr>
          <w:rFonts w:hint="default" w:ascii="Times New Roman" w:hAnsi="Times New Roman" w:eastAsia="仿宋_GB2312"/>
          <w:b w:val="0"/>
          <w:bCs w:val="0"/>
          <w:color w:val="auto"/>
          <w:kern w:val="2"/>
          <w:sz w:val="28"/>
          <w:szCs w:val="28"/>
        </w:rPr>
        <w:t>1.开户准备材料</w:t>
      </w:r>
    </w:p>
    <w:p w14:paraId="11E269D0">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1.1法人证明证件：组织机构代码证、工商营业执照、税务登记证。</w:t>
      </w:r>
    </w:p>
    <w:p w14:paraId="3ED80885">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1.2证券公司所需的机构投资者经办人身份证明和业务授权等材料。</w:t>
      </w:r>
    </w:p>
    <w:p w14:paraId="794FD251">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1.3对于普通机构投资者，还需提供上一季末净资产相关证明，或最近净资产证明。</w:t>
      </w:r>
    </w:p>
    <w:p w14:paraId="46F2CAD4">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1.4根据相关监管机构要求需要进行备案的专业机构投资者，还需提供在相关监管机构的成立备案文件。</w:t>
      </w:r>
    </w:p>
    <w:p w14:paraId="65F37175">
      <w:pPr>
        <w:ind w:firstLine="560" w:firstLineChars="200"/>
        <w:rPr>
          <w:rFonts w:hint="default" w:ascii="Times New Roman" w:hAnsi="Times New Roman" w:eastAsia="仿宋_GB2312"/>
          <w:b w:val="0"/>
          <w:bCs w:val="0"/>
          <w:color w:val="auto"/>
          <w:kern w:val="2"/>
          <w:sz w:val="28"/>
          <w:szCs w:val="28"/>
        </w:rPr>
      </w:pPr>
      <w:r>
        <w:rPr>
          <w:rFonts w:hint="default" w:ascii="Times New Roman" w:hAnsi="Times New Roman" w:eastAsia="仿宋_GB2312"/>
          <w:b w:val="0"/>
          <w:bCs w:val="0"/>
          <w:color w:val="auto"/>
          <w:kern w:val="2"/>
          <w:sz w:val="28"/>
          <w:szCs w:val="28"/>
        </w:rPr>
        <w:t>2.普通机构投资者资格初审</w:t>
      </w:r>
    </w:p>
    <w:p w14:paraId="724AF9F1">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2.1核对机构法人证明文件：原件与复印件一致性、年检有效期等信息。</w:t>
      </w:r>
    </w:p>
    <w:p w14:paraId="11C12632">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2.2核对机构投资者经办人身份信息和业务授权等材料。</w:t>
      </w:r>
    </w:p>
    <w:p w14:paraId="0018294E">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2.3核对上海证券交易所A股证券账户：</w:t>
      </w:r>
    </w:p>
    <w:p w14:paraId="5A892D00">
      <w:pPr>
        <w:ind w:firstLine="560" w:firstLineChars="200"/>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1</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若在本公司已有A股账户，核对通过；</w:t>
      </w:r>
    </w:p>
    <w:p w14:paraId="14E95ADB">
      <w:pPr>
        <w:ind w:firstLine="560" w:firstLineChars="200"/>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2</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若无本公司A股账户，需首先开立A股账户。</w:t>
      </w:r>
    </w:p>
    <w:p w14:paraId="16B809DE">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2.4核对托管资产。</w:t>
      </w:r>
    </w:p>
    <w:p w14:paraId="14911D2F">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2.5核对相关业务人员的模拟交易经历。</w:t>
      </w:r>
    </w:p>
    <w:p w14:paraId="1B4D8E50">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2.6核对相关业务人员的知识测试成绩。</w:t>
      </w:r>
    </w:p>
    <w:p w14:paraId="613DC494">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2.7审核其他相关信息。</w:t>
      </w:r>
    </w:p>
    <w:p w14:paraId="0A32A0FA">
      <w:pPr>
        <w:ind w:firstLine="560" w:firstLineChars="200"/>
        <w:rPr>
          <w:rFonts w:hint="default" w:ascii="Times New Roman" w:hAnsi="Times New Roman" w:eastAsia="仿宋_GB2312"/>
          <w:b w:val="0"/>
          <w:bCs w:val="0"/>
          <w:color w:val="auto"/>
          <w:kern w:val="2"/>
          <w:sz w:val="28"/>
          <w:szCs w:val="28"/>
        </w:rPr>
      </w:pPr>
      <w:r>
        <w:rPr>
          <w:rFonts w:hint="default" w:ascii="Times New Roman" w:hAnsi="Times New Roman" w:eastAsia="仿宋_GB2312"/>
          <w:b w:val="0"/>
          <w:bCs w:val="0"/>
          <w:color w:val="auto"/>
          <w:kern w:val="2"/>
          <w:sz w:val="28"/>
          <w:szCs w:val="28"/>
        </w:rPr>
        <w:t>3.专业机构投资者资格初审</w:t>
      </w:r>
    </w:p>
    <w:p w14:paraId="65ED6444">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3.1核对相关监管机构出具的成立备案文件。</w:t>
      </w:r>
    </w:p>
    <w:p w14:paraId="2A3D9F92">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3.2核对机构法人证明文件：原件与复印件一致性、年检有效期等信息。</w:t>
      </w:r>
    </w:p>
    <w:p w14:paraId="353B1ECC">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3.3核对机构投资者经办人身份信息和业务授权等材料。</w:t>
      </w:r>
    </w:p>
    <w:p w14:paraId="0DF9EEC7">
      <w:pPr>
        <w:ind w:firstLine="560" w:firstLineChars="200"/>
        <w:rPr>
          <w:rFonts w:hint="default" w:ascii="Times New Roman" w:hAnsi="Times New Roman" w:eastAsia="仿宋_GB2312"/>
          <w:kern w:val="2"/>
          <w:sz w:val="28"/>
          <w:szCs w:val="28"/>
        </w:rPr>
      </w:pPr>
      <w:r>
        <w:rPr>
          <w:rFonts w:hint="default" w:ascii="Times New Roman" w:hAnsi="Times New Roman" w:eastAsia="仿宋_GB2312"/>
          <w:kern w:val="2"/>
          <w:sz w:val="28"/>
          <w:szCs w:val="28"/>
        </w:rPr>
        <w:t>3.4核对上海证券交易所Ａ股证券账户：</w:t>
      </w:r>
    </w:p>
    <w:p w14:paraId="6AAD1787">
      <w:pPr>
        <w:ind w:firstLine="560" w:firstLineChars="200"/>
        <w:rPr>
          <w:rFonts w:hint="default" w:ascii="Times New Roman" w:hAnsi="Times New Roman" w:eastAsia="仿宋_GB2312" w:cs="Times New Roman"/>
          <w:bCs w:val="0"/>
          <w:color w:val="auto"/>
          <w:kern w:val="2"/>
          <w:sz w:val="28"/>
          <w:szCs w:val="28"/>
        </w:rPr>
      </w:pPr>
      <w:r>
        <w:rPr>
          <w:rFonts w:ascii="Times New Roman" w:hAnsi="Times New Roman" w:eastAsia="仿宋_GB2312" w:cs="Times New Roman"/>
          <w:bCs w:val="0"/>
          <w:kern w:val="2"/>
          <w:sz w:val="28"/>
          <w:szCs w:val="28"/>
        </w:rPr>
        <w:t>采用托管人结算模式</w:t>
      </w:r>
      <w:r>
        <w:rPr>
          <w:rFonts w:hint="default" w:ascii="Times New Roman" w:hAnsi="Times New Roman" w:eastAsia="仿宋_GB2312" w:cs="Times New Roman"/>
          <w:bCs w:val="0"/>
          <w:kern w:val="2"/>
          <w:sz w:val="28"/>
          <w:szCs w:val="28"/>
        </w:rPr>
        <w:t>的机构和</w:t>
      </w:r>
      <w:r>
        <w:rPr>
          <w:rFonts w:ascii="Times New Roman" w:hAnsi="Times New Roman" w:eastAsia="仿宋_GB2312" w:cs="Times New Roman"/>
          <w:bCs w:val="0"/>
          <w:kern w:val="2"/>
          <w:sz w:val="28"/>
          <w:szCs w:val="28"/>
        </w:rPr>
        <w:t>产品，</w:t>
      </w:r>
      <w:r>
        <w:rPr>
          <w:rFonts w:hint="default" w:ascii="Times New Roman" w:hAnsi="Times New Roman" w:eastAsia="仿宋_GB2312" w:cs="Times New Roman"/>
          <w:bCs w:val="0"/>
          <w:kern w:val="2"/>
          <w:sz w:val="28"/>
          <w:szCs w:val="28"/>
        </w:rPr>
        <w:t>如需参加</w:t>
      </w:r>
      <w:r>
        <w:rPr>
          <w:rFonts w:ascii="Times New Roman" w:hAnsi="Times New Roman" w:eastAsia="仿宋_GB2312"/>
          <w:sz w:val="28"/>
          <w:szCs w:val="28"/>
        </w:rPr>
        <w:t>股票</w:t>
      </w:r>
      <w:r>
        <w:rPr>
          <w:rFonts w:hint="default" w:ascii="Times New Roman" w:hAnsi="Times New Roman" w:eastAsia="仿宋_GB2312" w:cs="Times New Roman"/>
          <w:bCs w:val="0"/>
          <w:kern w:val="2"/>
          <w:sz w:val="28"/>
          <w:szCs w:val="28"/>
        </w:rPr>
        <w:t>期权交易，</w:t>
      </w:r>
      <w:r>
        <w:rPr>
          <w:rFonts w:ascii="Times New Roman" w:hAnsi="Times New Roman" w:eastAsia="仿宋_GB2312" w:cs="Times New Roman"/>
          <w:bCs w:val="0"/>
          <w:kern w:val="2"/>
          <w:sz w:val="28"/>
          <w:szCs w:val="28"/>
        </w:rPr>
        <w:t>应当按照现有证券账户开立方式向中国结算申请</w:t>
      </w:r>
      <w:r>
        <w:rPr>
          <w:rFonts w:ascii="Times New Roman" w:hAnsi="Times New Roman" w:eastAsia="仿宋_GB2312" w:cs="Times New Roman"/>
          <w:bCs w:val="0"/>
          <w:color w:val="auto"/>
          <w:kern w:val="2"/>
          <w:sz w:val="28"/>
          <w:szCs w:val="28"/>
        </w:rPr>
        <w:t>新开立一个普通证券账户，并将该证券账户指定交易在</w:t>
      </w:r>
      <w:r>
        <w:rPr>
          <w:rFonts w:hint="default" w:ascii="Times New Roman" w:hAnsi="Times New Roman" w:eastAsia="仿宋_GB2312" w:cs="Times New Roman"/>
          <w:bCs w:val="0"/>
          <w:color w:val="auto"/>
          <w:kern w:val="2"/>
          <w:sz w:val="28"/>
          <w:szCs w:val="28"/>
        </w:rPr>
        <w:t>开户证券</w:t>
      </w:r>
      <w:r>
        <w:rPr>
          <w:rFonts w:ascii="Times New Roman" w:hAnsi="Times New Roman" w:eastAsia="仿宋_GB2312" w:cs="Times New Roman"/>
          <w:bCs w:val="0"/>
          <w:color w:val="auto"/>
          <w:kern w:val="2"/>
          <w:sz w:val="28"/>
          <w:szCs w:val="28"/>
        </w:rPr>
        <w:t>公司，</w:t>
      </w:r>
      <w:r>
        <w:rPr>
          <w:rFonts w:hint="default" w:ascii="Times New Roman" w:hAnsi="Times New Roman" w:eastAsia="仿宋_GB2312" w:cs="Times New Roman"/>
          <w:bCs w:val="0"/>
          <w:color w:val="auto"/>
          <w:kern w:val="2"/>
          <w:sz w:val="28"/>
          <w:szCs w:val="28"/>
        </w:rPr>
        <w:t>由证券公司为其进行</w:t>
      </w:r>
      <w:r>
        <w:rPr>
          <w:rFonts w:ascii="Times New Roman" w:hAnsi="Times New Roman" w:eastAsia="仿宋_GB2312" w:cs="Times New Roman"/>
          <w:bCs w:val="0"/>
          <w:color w:val="auto"/>
          <w:kern w:val="2"/>
          <w:sz w:val="28"/>
          <w:szCs w:val="28"/>
        </w:rPr>
        <w:t>衍生品合约账户</w:t>
      </w:r>
      <w:r>
        <w:rPr>
          <w:rFonts w:hint="default" w:ascii="Times New Roman" w:hAnsi="Times New Roman" w:eastAsia="仿宋_GB2312" w:cs="Times New Roman"/>
          <w:bCs w:val="0"/>
          <w:color w:val="auto"/>
          <w:kern w:val="2"/>
          <w:sz w:val="28"/>
          <w:szCs w:val="28"/>
        </w:rPr>
        <w:t>配号。</w:t>
      </w:r>
      <w:r>
        <w:rPr>
          <w:rFonts w:ascii="Times New Roman" w:hAnsi="Times New Roman" w:eastAsia="仿宋_GB2312" w:cs="Times New Roman"/>
          <w:bCs w:val="0"/>
          <w:color w:val="auto"/>
          <w:kern w:val="2"/>
          <w:sz w:val="28"/>
          <w:szCs w:val="28"/>
        </w:rPr>
        <w:t>采用证券公司结算模式的产品，则无需开立</w:t>
      </w:r>
      <w:r>
        <w:rPr>
          <w:rFonts w:hint="default" w:ascii="Times New Roman" w:hAnsi="Times New Roman" w:eastAsia="仿宋_GB2312" w:cs="Times New Roman"/>
          <w:bCs w:val="0"/>
          <w:color w:val="auto"/>
          <w:kern w:val="2"/>
          <w:sz w:val="28"/>
          <w:szCs w:val="28"/>
        </w:rPr>
        <w:t>新的</w:t>
      </w:r>
      <w:r>
        <w:rPr>
          <w:rFonts w:ascii="Times New Roman" w:hAnsi="Times New Roman" w:eastAsia="仿宋_GB2312" w:cs="Times New Roman"/>
          <w:bCs w:val="0"/>
          <w:color w:val="auto"/>
          <w:kern w:val="2"/>
          <w:sz w:val="28"/>
          <w:szCs w:val="28"/>
        </w:rPr>
        <w:t>普通证券账户，由现有指定交易证券公司为其开立衍生品合约账户。</w:t>
      </w:r>
    </w:p>
    <w:p w14:paraId="0AC7FD55">
      <w:pPr>
        <w:ind w:firstLine="560" w:firstLineChars="200"/>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1</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若在本公司已有A股账户，核对通过；</w:t>
      </w:r>
    </w:p>
    <w:p w14:paraId="6B3B3A77">
      <w:pPr>
        <w:ind w:firstLine="560" w:firstLineChars="200"/>
        <w:rPr>
          <w:rFonts w:hint="default" w:ascii="Times New Roman" w:hAnsi="Times New Roman" w:eastAsia="仿宋_GB2312"/>
          <w:color w:val="auto"/>
          <w:kern w:val="2"/>
          <w:sz w:val="28"/>
          <w:szCs w:val="28"/>
        </w:rPr>
      </w:pP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2</w:t>
      </w:r>
      <w:r>
        <w:rPr>
          <w:rFonts w:hint="eastAsia" w:ascii="Times New Roman" w:hAnsi="Times New Roman" w:eastAsia="仿宋_GB2312"/>
          <w:sz w:val="28"/>
          <w:szCs w:val="28"/>
        </w:rPr>
        <w:t>）</w:t>
      </w:r>
      <w:r>
        <w:rPr>
          <w:rFonts w:hint="default" w:ascii="Times New Roman" w:hAnsi="Times New Roman" w:eastAsia="仿宋_GB2312"/>
          <w:color w:val="auto"/>
          <w:kern w:val="2"/>
          <w:sz w:val="28"/>
          <w:szCs w:val="28"/>
        </w:rPr>
        <w:t>若无本公司A股账户，需首先开立A股账户。</w:t>
      </w:r>
    </w:p>
    <w:p w14:paraId="034E9B8B">
      <w:pPr>
        <w:ind w:firstLine="560" w:firstLineChars="200"/>
        <w:rPr>
          <w:rFonts w:hint="default" w:ascii="Times New Roman" w:hAnsi="Times New Roman" w:eastAsia="仿宋_GB2312"/>
          <w:b w:val="0"/>
          <w:bCs w:val="0"/>
          <w:color w:val="auto"/>
          <w:kern w:val="2"/>
          <w:sz w:val="28"/>
          <w:szCs w:val="28"/>
        </w:rPr>
      </w:pPr>
      <w:r>
        <w:rPr>
          <w:rFonts w:hint="default" w:ascii="Times New Roman" w:hAnsi="Times New Roman" w:eastAsia="仿宋_GB2312"/>
          <w:b w:val="0"/>
          <w:bCs w:val="0"/>
          <w:color w:val="auto"/>
          <w:kern w:val="2"/>
          <w:sz w:val="28"/>
          <w:szCs w:val="28"/>
        </w:rPr>
        <w:t>4.开户程序</w:t>
      </w:r>
    </w:p>
    <w:p w14:paraId="6330A6C2">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4.1普通机构投资者签署风险揭示书。开户人按风险揭示书要求抄写或朗读承诺并签名，证券公司对开户人抄写或朗读承诺文字的过程进行拍照或录像存档。</w:t>
      </w:r>
    </w:p>
    <w:p w14:paraId="68352E8E">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4.2机构投资者签署经纪合同。</w:t>
      </w:r>
    </w:p>
    <w:p w14:paraId="08FDB591">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4.3公司总部审核。</w:t>
      </w:r>
    </w:p>
    <w:p w14:paraId="144BC6F9">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4.4审核与开户结果反馈，通知客户办理银衍签约。</w:t>
      </w:r>
    </w:p>
    <w:p w14:paraId="08C105DC">
      <w:pPr>
        <w:ind w:firstLine="560" w:firstLineChars="200"/>
        <w:rPr>
          <w:rFonts w:ascii="Times New Roman" w:hAnsi="Times New Roman" w:eastAsia="楷体_GB2312" w:cs="Times New Roman"/>
          <w:b w:val="0"/>
          <w:bCs w:val="0"/>
          <w:sz w:val="28"/>
          <w:szCs w:val="28"/>
        </w:rPr>
      </w:pPr>
      <w:r>
        <w:rPr>
          <w:rFonts w:hint="default" w:ascii="Times New Roman" w:hAnsi="Times New Roman" w:eastAsia="楷体_GB2312" w:cs="Times New Roman"/>
          <w:b w:val="0"/>
          <w:bCs w:val="0"/>
          <w:sz w:val="28"/>
          <w:szCs w:val="28"/>
        </w:rPr>
        <w:t>（三）客户开立多个衍生品账户</w:t>
      </w:r>
    </w:p>
    <w:p w14:paraId="3A51EC77">
      <w:pPr>
        <w:adjustRightInd/>
        <w:snapToGrid/>
        <w:spacing w:line="240" w:lineRule="auto"/>
        <w:ind w:firstLine="560" w:firstLineChars="200"/>
        <w:jc w:val="both"/>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符合股票期权投资者适当性管理相关要求的投资者（含个人投资者、机构投资者以及期权经营机构自营业务），可以根据中国结算相关规定同时开立多个合约账户进行股票期权交易。</w:t>
      </w:r>
      <w:r>
        <w:rPr>
          <w:rFonts w:hint="eastAsia" w:ascii="仿宋_GB2312" w:eastAsia="仿宋_GB2312" w:cs="仿宋_GB2312"/>
          <w:sz w:val="28"/>
          <w:szCs w:val="28"/>
        </w:rPr>
        <w:t>根据</w:t>
      </w:r>
      <w:r>
        <w:rPr>
          <w:rFonts w:hint="eastAsia" w:ascii="仿宋_GB2312" w:eastAsia="仿宋_GB2312" w:cs="仿宋_GB2312"/>
          <w:kern w:val="0"/>
          <w:sz w:val="28"/>
          <w:szCs w:val="28"/>
        </w:rPr>
        <w:t>衍生品合约账户与证券账户一一对应的原则，个人和机构投资者（不含自营）在一家期权经营机构只能开立一个合约账户，自营可以</w:t>
      </w:r>
      <w:r>
        <w:rPr>
          <w:rFonts w:hint="default" w:ascii="Times New Roman" w:hAnsi="Times New Roman" w:eastAsia="仿宋_GB2312" w:cs="Times New Roman"/>
          <w:sz w:val="28"/>
          <w:szCs w:val="28"/>
        </w:rPr>
        <w:t>根据中国结算相关规定</w:t>
      </w:r>
      <w:r>
        <w:rPr>
          <w:rFonts w:hint="eastAsia" w:ascii="仿宋_GB2312" w:eastAsia="仿宋_GB2312" w:cs="仿宋_GB2312"/>
          <w:kern w:val="0"/>
          <w:sz w:val="28"/>
          <w:szCs w:val="28"/>
        </w:rPr>
        <w:t>在本期权经营机构开立多个合约账户。</w:t>
      </w:r>
    </w:p>
    <w:p w14:paraId="76EF6110">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投资者开立非首个</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期权合约账户时，在提供已开立的首个合约账户相关凭证或交易记录的情况下，证券公司只需执行以下投资者适当性评估要求，无需再对投资者的交易经历、知识测试成绩、</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期权模拟交易经历进行核查：</w:t>
      </w:r>
    </w:p>
    <w:p w14:paraId="739E0E82">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1.个人投资者</w:t>
      </w:r>
    </w:p>
    <w:p w14:paraId="121A2D85">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w:t>
      </w:r>
      <w:r>
        <w:rPr>
          <w:rFonts w:hint="default" w:ascii="Times New Roman" w:hAnsi="Times New Roman" w:eastAsia="仿宋_GB2312"/>
          <w:sz w:val="28"/>
          <w:szCs w:val="28"/>
        </w:rPr>
        <w:t>申请开户时托管在其委托的期权经营机构的证券市值与资金账户可用余额（不含通过融资融券交易融入的资金或证券），合计不低于人民币50万元</w:t>
      </w:r>
      <w:r>
        <w:rPr>
          <w:rFonts w:hint="default" w:ascii="Times New Roman" w:hAnsi="Times New Roman" w:eastAsia="仿宋_GB2312" w:cs="Times New Roman"/>
          <w:kern w:val="2"/>
          <w:sz w:val="28"/>
          <w:szCs w:val="28"/>
        </w:rPr>
        <w:t>；</w:t>
      </w:r>
    </w:p>
    <w:p w14:paraId="312FF44C">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（2）通过本公司的风险承受能力评估，1年内对该投资者进行过风险评估的，可不重做评估。</w:t>
      </w:r>
    </w:p>
    <w:p w14:paraId="3E1175FD">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2.普通机构投资者</w:t>
      </w:r>
    </w:p>
    <w:p w14:paraId="2347F00D">
      <w:pPr>
        <w:adjustRightInd/>
        <w:snapToGrid/>
        <w:spacing w:line="240" w:lineRule="auto"/>
        <w:ind w:firstLine="560" w:firstLineChars="200"/>
        <w:jc w:val="both"/>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w:t>
      </w:r>
      <w:r>
        <w:rPr>
          <w:rFonts w:hint="default" w:ascii="Times New Roman" w:hAnsi="Times New Roman" w:eastAsia="仿宋_GB2312"/>
          <w:sz w:val="28"/>
          <w:szCs w:val="28"/>
        </w:rPr>
        <w:t>申请开户时托管在其委托的期权经营机构的证券市值与资金账户可用余额（不含通过融资融券交易融入的资金或证券），合计不低于人民币</w:t>
      </w:r>
      <w:r>
        <w:rPr>
          <w:rFonts w:hint="default" w:ascii="Times New Roman" w:hAnsi="Times New Roman" w:eastAsia="仿宋_GB2312" w:cs="Times New Roman"/>
          <w:kern w:val="2"/>
          <w:sz w:val="28"/>
          <w:szCs w:val="28"/>
        </w:rPr>
        <w:t>100万元；</w:t>
      </w:r>
    </w:p>
    <w:p w14:paraId="611BE2EC">
      <w:pPr>
        <w:ind w:firstLine="560" w:firstLineChars="200"/>
        <w:rPr>
          <w:rFonts w:hint="default" w:ascii="Times New Roman" w:hAnsi="Times New Roman" w:eastAsia="仿宋_GB2312"/>
          <w:sz w:val="28"/>
          <w:szCs w:val="28"/>
        </w:rPr>
      </w:pPr>
      <w:r>
        <w:rPr>
          <w:rFonts w:hint="default" w:ascii="Times New Roman" w:hAnsi="Times New Roman" w:eastAsia="仿宋_GB2312" w:cs="Times New Roman"/>
          <w:kern w:val="2"/>
          <w:sz w:val="28"/>
          <w:szCs w:val="28"/>
        </w:rPr>
        <w:t>（2）</w:t>
      </w:r>
      <w:r>
        <w:rPr>
          <w:rFonts w:hint="default" w:ascii="Times New Roman" w:hAnsi="Times New Roman" w:eastAsia="仿宋_GB2312"/>
          <w:sz w:val="28"/>
          <w:szCs w:val="28"/>
        </w:rPr>
        <w:t>上一季度末净资产不低于人民币100万元（新成立的机构取最近净资产）</w:t>
      </w:r>
      <w:r>
        <w:rPr>
          <w:rFonts w:hint="default" w:ascii="Times New Roman" w:hAnsi="Times New Roman" w:eastAsia="仿宋_GB2312" w:cs="Times New Roman"/>
          <w:kern w:val="2"/>
          <w:sz w:val="28"/>
          <w:szCs w:val="28"/>
        </w:rPr>
        <w:t>。</w:t>
      </w:r>
    </w:p>
    <w:p w14:paraId="6EC39CCE">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（四）客户资料的修改</w:t>
      </w:r>
    </w:p>
    <w:p w14:paraId="6B066927">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客户资料修改业务包括客户信息资料修改、交易权限修改、持仓限额修改、密码重置等。账户资料修改应符合相关规定，并留痕。</w:t>
      </w:r>
    </w:p>
    <w:p w14:paraId="5D44FA17">
      <w:pPr>
        <w:ind w:firstLine="560" w:firstLineChars="200"/>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客户信息资料及密码的修改等操作应严格遵循证券公司内部操作流程。客户交易权限及持仓限额的修改，由分支机构进行初步审查、复核后提交至总部审核。</w:t>
      </w:r>
    </w:p>
    <w:p w14:paraId="570BC007">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（五）客户衍生品合约账户销户</w:t>
      </w:r>
    </w:p>
    <w:p w14:paraId="192CB3FE">
      <w:pPr>
        <w:ind w:firstLine="560" w:firstLineChars="200"/>
        <w:jc w:val="both"/>
        <w:rPr>
          <w:rFonts w:ascii="Times New Roman" w:hAnsi="Times New Roman" w:eastAsia="仿宋_GB2312" w:cs="Times New Roman"/>
          <w:sz w:val="28"/>
          <w:szCs w:val="28"/>
        </w:rPr>
      </w:pPr>
      <w:r>
        <w:rPr>
          <w:rFonts w:hint="default" w:ascii="Times New Roman" w:hAnsi="Times New Roman" w:eastAsia="仿宋_GB2312"/>
          <w:color w:val="auto"/>
          <w:kern w:val="2"/>
          <w:sz w:val="28"/>
          <w:szCs w:val="28"/>
        </w:rPr>
        <w:t>衍生品合约账户销户业务须</w:t>
      </w:r>
      <w:r>
        <w:rPr>
          <w:rFonts w:hint="default" w:ascii="Times New Roman" w:hAnsi="Times New Roman" w:eastAsia="仿宋_GB2312" w:cs="Times New Roman"/>
          <w:sz w:val="28"/>
          <w:szCs w:val="28"/>
        </w:rPr>
        <w:t>由客户本人按以下顺序办理：</w:t>
      </w:r>
    </w:p>
    <w:p w14:paraId="416BBF0D">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1.注销衍生品合约账户；</w:t>
      </w:r>
    </w:p>
    <w:p w14:paraId="40D859DB">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2.撤销银衍转账；</w:t>
      </w:r>
    </w:p>
    <w:p w14:paraId="566EA158">
      <w:pPr>
        <w:ind w:firstLine="560" w:firstLineChars="200"/>
        <w:jc w:val="both"/>
        <w:rPr>
          <w:rFonts w:hint="default" w:ascii="Times New Roman" w:hAnsi="Times New Roman" w:eastAsia="仿宋_GB2312"/>
          <w:color w:val="auto"/>
          <w:kern w:val="2"/>
          <w:sz w:val="28"/>
          <w:szCs w:val="28"/>
        </w:rPr>
      </w:pPr>
      <w:r>
        <w:rPr>
          <w:rFonts w:hint="default" w:ascii="Times New Roman" w:hAnsi="Times New Roman" w:eastAsia="仿宋_GB2312"/>
          <w:color w:val="auto"/>
          <w:kern w:val="2"/>
          <w:sz w:val="28"/>
          <w:szCs w:val="28"/>
        </w:rPr>
        <w:t>3.注销股票期权保证金账户。</w:t>
      </w:r>
    </w:p>
    <w:p w14:paraId="79F72D35">
      <w:pPr>
        <w:ind w:firstLine="560" w:firstLineChars="200"/>
        <w:jc w:val="both"/>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证券公司确认投资者合约账户内没有持仓及未了结债权债务</w:t>
      </w:r>
      <w:r>
        <w:rPr>
          <w:rFonts w:hint="eastAsia" w:ascii="Times New Roman" w:hAnsi="Times New Roman" w:eastAsia="仿宋_GB2312"/>
          <w:color w:val="auto"/>
          <w:sz w:val="28"/>
          <w:szCs w:val="28"/>
          <w:lang w:eastAsia="zh-CN"/>
        </w:rPr>
        <w:t>，</w:t>
      </w:r>
      <w:r>
        <w:rPr>
          <w:rFonts w:hint="default" w:ascii="Times New Roman" w:hAnsi="Times New Roman" w:eastAsia="仿宋_GB2312"/>
          <w:color w:val="auto"/>
          <w:sz w:val="28"/>
          <w:szCs w:val="28"/>
        </w:rPr>
        <w:t>不存在存续有效的或正在向交易所申请中的特殊持仓限额后，方可办理投资者合约账户销户。投资者合约账户销户后方可办理对应证券账户的撤销指定交易和销户。</w:t>
      </w:r>
    </w:p>
    <w:p w14:paraId="185B8F9F">
      <w:pPr>
        <w:widowControl/>
        <w:jc w:val="left"/>
        <w:rPr>
          <w:rFonts w:ascii="Times New Roman" w:hAnsi="Times New Roman" w:eastAsia="仿宋_GB2312"/>
          <w:color w:val="000000"/>
          <w:sz w:val="28"/>
          <w:szCs w:val="28"/>
        </w:rPr>
      </w:pPr>
      <w:r>
        <w:rPr>
          <w:rFonts w:ascii="Times New Roman" w:hAnsi="Times New Roman" w:eastAsia="仿宋_GB2312"/>
          <w:color w:val="000000"/>
          <w:sz w:val="28"/>
          <w:szCs w:val="28"/>
        </w:rPr>
        <w:br w:type="page"/>
      </w:r>
    </w:p>
    <w:p w14:paraId="1EB5DADC">
      <w:pPr>
        <w:pStyle w:val="4"/>
        <w:spacing w:line="240" w:lineRule="auto"/>
        <w:jc w:val="center"/>
        <w:rPr>
          <w:rFonts w:hint="default" w:ascii="Times New Roman" w:hAnsi="Times New Roman" w:eastAsia="黑体"/>
          <w:kern w:val="2"/>
          <w:sz w:val="32"/>
          <w:szCs w:val="32"/>
        </w:rPr>
      </w:pPr>
      <w:bookmarkStart w:id="200" w:name="_Toc15724"/>
      <w:bookmarkStart w:id="201" w:name="_Toc406439136"/>
      <w:bookmarkStart w:id="202" w:name="_Toc215740293"/>
      <w:bookmarkStart w:id="203" w:name="_Toc452017014"/>
      <w:bookmarkStart w:id="204" w:name="_Toc8009"/>
      <w:bookmarkStart w:id="205" w:name="_Toc406438905"/>
      <w:bookmarkStart w:id="206" w:name="_Toc7668"/>
      <w:bookmarkStart w:id="207" w:name="_Toc406436502"/>
      <w:bookmarkStart w:id="208" w:name="_Toc406438951"/>
      <w:bookmarkStart w:id="209" w:name="_Toc408749993"/>
      <w:bookmarkStart w:id="210" w:name="_Toc23947149"/>
      <w:r>
        <w:rPr>
          <w:rFonts w:hint="default" w:ascii="Times New Roman" w:hAnsi="Times New Roman" w:eastAsia="黑体"/>
          <w:kern w:val="2"/>
          <w:sz w:val="32"/>
          <w:szCs w:val="32"/>
        </w:rPr>
        <w:t>第五章 持仓限额管理</w:t>
      </w:r>
      <w:bookmarkEnd w:id="200"/>
      <w:bookmarkEnd w:id="201"/>
      <w:bookmarkEnd w:id="202"/>
      <w:bookmarkEnd w:id="203"/>
      <w:bookmarkEnd w:id="204"/>
      <w:bookmarkEnd w:id="205"/>
      <w:bookmarkEnd w:id="206"/>
      <w:bookmarkEnd w:id="207"/>
      <w:bookmarkEnd w:id="208"/>
      <w:bookmarkEnd w:id="209"/>
      <w:bookmarkEnd w:id="210"/>
    </w:p>
    <w:p w14:paraId="77ED315B">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公司总部负责制定持仓限额管理相关制度、统筹审核管理客户持仓及限购额度以及本公司经纪业务持仓额度，分支机构协助总部做好相关工作。</w:t>
      </w:r>
    </w:p>
    <w:p w14:paraId="06A00E38">
      <w:pPr>
        <w:ind w:firstLine="560" w:firstLineChars="200"/>
        <w:outlineLvl w:val="1"/>
        <w:rPr>
          <w:rFonts w:ascii="Times New Roman" w:hAnsi="Times New Roman" w:eastAsia="黑体"/>
          <w:sz w:val="28"/>
          <w:szCs w:val="28"/>
        </w:rPr>
      </w:pPr>
      <w:bookmarkStart w:id="211" w:name="_Toc25229"/>
      <w:bookmarkStart w:id="212" w:name="_Toc452017015"/>
      <w:bookmarkStart w:id="213" w:name="_Toc404185883"/>
      <w:bookmarkStart w:id="214" w:name="_Toc8966"/>
      <w:bookmarkStart w:id="215" w:name="_Toc32516"/>
      <w:bookmarkStart w:id="216" w:name="_Toc215740294"/>
      <w:bookmarkStart w:id="217" w:name="_Toc406438906"/>
      <w:bookmarkStart w:id="218" w:name="_Toc23947150"/>
      <w:bookmarkStart w:id="219" w:name="_Toc408749994"/>
      <w:r>
        <w:rPr>
          <w:rFonts w:hint="eastAsia" w:ascii="Times New Roman" w:hAnsi="Times New Roman" w:eastAsia="黑体"/>
          <w:sz w:val="28"/>
          <w:szCs w:val="28"/>
        </w:rPr>
        <w:t>一、持仓限额前端控制</w:t>
      </w:r>
      <w:bookmarkEnd w:id="211"/>
      <w:bookmarkEnd w:id="212"/>
      <w:bookmarkEnd w:id="213"/>
      <w:bookmarkEnd w:id="214"/>
      <w:bookmarkEnd w:id="215"/>
      <w:bookmarkEnd w:id="216"/>
      <w:bookmarkEnd w:id="217"/>
      <w:bookmarkEnd w:id="218"/>
      <w:bookmarkEnd w:id="219"/>
    </w:p>
    <w:p w14:paraId="1D8EE23D">
      <w:pPr>
        <w:spacing w:before="0" w:beforeLines="-2147483648" w:after="0"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（一）持仓限额标准</w:t>
      </w:r>
    </w:p>
    <w:p w14:paraId="3F9F479D">
      <w:pPr>
        <w:spacing w:before="0" w:beforeLines="-2147483648" w:after="0" w:afterLines="-2147483648"/>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投资者（含期权经营机构自营业务）单个衍生品合约账户对单个合约品种的权利仓持仓限额、总持仓限额、单日买入开仓限额标准如下：</w:t>
      </w:r>
    </w:p>
    <w:p w14:paraId="5697A676">
      <w:pPr>
        <w:spacing w:before="0" w:beforeLines="-2147483648" w:after="0" w:afterLines="-2147483648"/>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权利仓持仓限额标准为：</w:t>
      </w:r>
    </w:p>
    <w:p w14:paraId="12FC0663">
      <w:pPr>
        <w:numPr>
          <w:ins w:id="0" w:author="wyzhu" w:date="2025-11-03T11:21:00Z"/>
        </w:numPr>
        <w:spacing w:before="0" w:beforeLines="-2147483648" w:after="0" w:afterLines="-2147483648"/>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1.</w:t>
      </w:r>
      <w:r>
        <w:rPr>
          <w:rFonts w:hint="default" w:ascii="Times New Roman" w:hAnsi="Times New Roman" w:eastAsia="仿宋_GB2312" w:cs="Times New Roman"/>
          <w:sz w:val="28"/>
          <w:szCs w:val="28"/>
        </w:rPr>
        <w:t>新开立合约账户的投资者，权利仓持仓限额为100张，总持仓限额为200张、单日买入开仓限额为400张。</w:t>
      </w:r>
    </w:p>
    <w:p w14:paraId="1393C834">
      <w:pPr>
        <w:numPr>
          <w:ins w:id="1" w:author="wyzhu" w:date="2025-11-03T11:21:00Z"/>
        </w:numPr>
        <w:spacing w:before="0" w:beforeLines="-2147483648" w:after="0" w:afterLines="-2147483648"/>
        <w:ind w:firstLine="560" w:firstLineChars="200"/>
        <w:rPr>
          <w:rFonts w:hint="default" w:ascii="Times New Roman" w:hAnsi="Times New Roman" w:eastAsia="仿宋_GB2312" w:cs="Times New Roman"/>
          <w:sz w:val="28"/>
          <w:szCs w:val="28"/>
        </w:rPr>
      </w:pPr>
      <w:r>
        <w:rPr>
          <w:rFonts w:hint="eastAsia" w:ascii="Times New Roman" w:hAnsi="Times New Roman" w:eastAsia="仿宋_GB2312"/>
          <w:sz w:val="28"/>
          <w:szCs w:val="28"/>
        </w:rPr>
        <w:t>2.</w:t>
      </w:r>
      <w:r>
        <w:rPr>
          <w:rFonts w:hint="default" w:ascii="Times New Roman" w:hAnsi="Times New Roman" w:eastAsia="仿宋_GB2312" w:cs="Times New Roman"/>
          <w:sz w:val="28"/>
          <w:szCs w:val="28"/>
        </w:rPr>
        <w:t>经证券公司评估认为风险承受能力较强、开户满10个交易日、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期权合约成交量达到100张且具备三级交易权限的投资者，权利仓持仓限额1000张、总持仓限额2000张、单日买入开仓限额4000张。</w:t>
      </w:r>
    </w:p>
    <w:p w14:paraId="784EF83C">
      <w:pPr>
        <w:numPr>
          <w:ins w:id="2" w:author="wyzhu" w:date="2025-11-03T11:21:00Z"/>
        </w:numPr>
        <w:spacing w:before="0" w:beforeLines="-2147483648" w:after="0" w:afterLines="-2147483648"/>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3.</w:t>
      </w:r>
      <w:r>
        <w:rPr>
          <w:rFonts w:hint="default" w:ascii="Times New Roman" w:hAnsi="Times New Roman" w:eastAsia="仿宋_GB2312" w:cs="Times New Roman"/>
          <w:sz w:val="28"/>
          <w:szCs w:val="28"/>
        </w:rPr>
        <w:t>经证券公司评估认为风险承受能力较强、开户满10个交易日、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期权合约成交量达到500张、自有资产余额超过100万元且具备三级交易权限的客户，权利仓持仓限额2000张、总持仓限额4000张、单日买入开仓限额8000张。</w:t>
      </w:r>
    </w:p>
    <w:p w14:paraId="13467265">
      <w:pPr>
        <w:numPr>
          <w:ins w:id="3" w:author="wyzhu" w:date="2025-11-03T11:21:00Z"/>
        </w:numPr>
        <w:spacing w:before="0" w:beforeLines="-2147483648" w:after="0" w:afterLines="-2147483648"/>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4.经证券公司评估认为风险承受能力较强、开户满10个交易日、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期权合约成交量达到1000张、自有资产余额超过300万的客户且具备三级交易权限的客户，权利仓持仓限额为5000张、总持仓限额为10000张、单日买入开仓限额为10000张。</w:t>
      </w:r>
    </w:p>
    <w:p w14:paraId="0B676C15">
      <w:pPr>
        <w:numPr>
          <w:ins w:id="4" w:author="wyzhu" w:date="2025-11-03T11:21:00Z"/>
        </w:numPr>
        <w:spacing w:before="0" w:beforeLines="-2147483648" w:after="0" w:afterLines="-2147483648"/>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自有资产余额，指投资者托管在该证券公司的沪深证券市值与资金账户可用余额（不含通过融资融券交易融入的证券和资金）。</w:t>
      </w:r>
    </w:p>
    <w:p w14:paraId="429AAF9B">
      <w:pPr>
        <w:spacing w:before="0" w:beforeLines="-2147483648" w:after="0" w:afterLines="-2147483648"/>
        <w:ind w:firstLine="560" w:firstLineChars="200"/>
        <w:rPr>
          <w:rFonts w:hint="default" w:ascii="Times New Roman" w:hAnsi="Times New Roman" w:eastAsia="仿宋_GB2312" w:cs="Times New Roman"/>
          <w:sz w:val="28"/>
          <w:szCs w:val="28"/>
        </w:rPr>
      </w:pPr>
      <w:r>
        <w:rPr>
          <w:rFonts w:ascii="Times New Roman" w:hAnsi="Times New Roman" w:eastAsia="仿宋_GB2312"/>
          <w:kern w:val="2"/>
          <w:sz w:val="28"/>
          <w:szCs w:val="28"/>
        </w:rPr>
        <w:t>投资者（包括个人投资者、普通机构投资者和专业机构投资者等）因进行套期保值交易，需要提高持仓限额且符合本所规定条件的，可以根据《</w:t>
      </w:r>
      <w:r>
        <w:rPr>
          <w:rFonts w:hint="default" w:ascii="Times New Roman" w:hAnsi="Times New Roman" w:eastAsia="仿宋_GB2312"/>
          <w:kern w:val="2"/>
          <w:sz w:val="28"/>
          <w:szCs w:val="28"/>
        </w:rPr>
        <w:t>上海证券交易所股票期权持仓限额管理业务指引</w:t>
      </w:r>
      <w:r>
        <w:rPr>
          <w:rFonts w:ascii="Times New Roman" w:hAnsi="Times New Roman" w:eastAsia="仿宋_GB2312"/>
          <w:kern w:val="2"/>
          <w:sz w:val="28"/>
          <w:szCs w:val="28"/>
        </w:rPr>
        <w:t>》的相关规定，对单个合约品种向本所申请提高权利仓持仓限额、总持仓限额以及单日买入开仓限额。</w:t>
      </w:r>
    </w:p>
    <w:p w14:paraId="79DE2AB0">
      <w:pPr>
        <w:spacing w:before="0" w:beforeLines="-2147483648" w:after="0"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（二）前端控制</w:t>
      </w:r>
    </w:p>
    <w:p w14:paraId="157C7F2F">
      <w:pPr>
        <w:spacing w:before="0" w:beforeLines="-2147483648" w:after="0" w:afterLines="-2147483648"/>
        <w:ind w:firstLine="560" w:firstLineChars="200"/>
        <w:rPr>
          <w:rFonts w:ascii="Times New Roman" w:hAnsi="Times New Roman" w:eastAsia="仿宋_GB2312"/>
          <w:kern w:val="2"/>
          <w:sz w:val="28"/>
          <w:szCs w:val="28"/>
        </w:rPr>
      </w:pPr>
      <w:bookmarkStart w:id="220" w:name="_Toc406438907"/>
      <w:bookmarkStart w:id="221" w:name="_Toc404185884"/>
      <w:r>
        <w:rPr>
          <w:rFonts w:hint="default" w:ascii="Times New Roman" w:hAnsi="Times New Roman" w:eastAsia="仿宋_GB2312" w:cs="Times New Roman"/>
          <w:sz w:val="28"/>
          <w:szCs w:val="28"/>
        </w:rPr>
        <w:t>证券公司应监控客户及自身经纪业务的</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期权合约持仓情况，包括：单个账户对同一合约品种权利仓持仓限额、总持仓限额、单日买入开仓限额、证券公司对同一合约品种的经纪业务总持仓限额。</w:t>
      </w:r>
    </w:p>
    <w:p w14:paraId="134B3E69">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单个账户对同一合约品种权利仓持仓限额指投资者持有该合约品种的认购期权和认沽期权合约的权利仓合计不超过的数量。单个账户对同一合约品种总持仓限额指投资者持有该合约品种的认购期权和认沽期权合约的权利仓和义务仓（含备兑开仓）合计不超过的数量。单个账户对同一合约品种</w:t>
      </w:r>
      <w:r>
        <w:rPr>
          <w:rFonts w:hint="default" w:ascii="Times New Roman" w:hAnsi="Times New Roman" w:eastAsia="仿宋_GB2312" w:cs="Times New Roman"/>
          <w:sz w:val="28"/>
          <w:szCs w:val="28"/>
        </w:rPr>
        <w:t>单日买入开仓限额指投资者单日进行</w:t>
      </w:r>
      <w:r>
        <w:rPr>
          <w:rFonts w:hint="default" w:ascii="Times New Roman" w:hAnsi="Times New Roman" w:eastAsia="仿宋_GB2312"/>
          <w:kern w:val="2"/>
          <w:sz w:val="28"/>
          <w:szCs w:val="28"/>
        </w:rPr>
        <w:t>认购期权和认沽期权的权利仓开仓合计不超过的数量。证券公司对同一合约品种的经纪业务总持仓限额指证券公司经纪业务持有该合约品种的认购期权和认沽期权合约的权利仓和义务仓（含备兑开仓）合计不超过的数量。</w:t>
      </w:r>
    </w:p>
    <w:p w14:paraId="0A31FEC8">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对不同合约品种，可以设置不同的持仓限额。证券公司可以对不同客户设置不同的持仓限额，但不得高于交易所规定标准。前端控制具体如下。</w:t>
      </w:r>
    </w:p>
    <w:p w14:paraId="0151B43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对买入开仓：权利仓已持仓数量+买入开仓未成交申报数量（撤单需扣减）</w:t>
      </w:r>
      <w:r>
        <w:rPr>
          <w:rFonts w:ascii="Times New Roman" w:hAnsi="Times New Roman" w:eastAsia="仿宋_GB2312"/>
          <w:sz w:val="28"/>
          <w:szCs w:val="28"/>
        </w:rPr>
        <w:t>≤</w:t>
      </w:r>
      <w:r>
        <w:rPr>
          <w:rFonts w:hint="default" w:ascii="Times New Roman" w:hAnsi="Times New Roman" w:eastAsia="仿宋_GB2312"/>
          <w:sz w:val="28"/>
          <w:szCs w:val="28"/>
        </w:rPr>
        <w:t>权利仓持仓限额</w:t>
      </w:r>
    </w:p>
    <w:p w14:paraId="4D78C597">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cs="Times New Roman"/>
          <w:sz w:val="28"/>
          <w:szCs w:val="28"/>
        </w:rPr>
        <w:t>对买入开仓和卖出开仓：权利仓已持仓数量+义务仓已持仓数量（包括备兑开仓）+买入开仓未成交申报数量（撤单需扣减）+卖出开仓未成交申报数量（撤单需扣减，包括备兑开仓）</w:t>
      </w:r>
      <w:r>
        <w:rPr>
          <w:rFonts w:ascii="Times New Roman" w:hAnsi="Times New Roman" w:eastAsia="仿宋_GB2312"/>
          <w:sz w:val="28"/>
          <w:szCs w:val="28"/>
        </w:rPr>
        <w:t>≤</w:t>
      </w:r>
      <w:r>
        <w:rPr>
          <w:rFonts w:hint="default" w:ascii="Times New Roman" w:hAnsi="Times New Roman" w:eastAsia="仿宋_GB2312" w:cs="Times New Roman"/>
          <w:sz w:val="28"/>
          <w:szCs w:val="28"/>
        </w:rPr>
        <w:t>总持仓限额</w:t>
      </w:r>
    </w:p>
    <w:p w14:paraId="280CED94">
      <w:pPr>
        <w:widowControl w:val="0"/>
        <w:spacing w:before="0" w:after="0"/>
        <w:ind w:firstLine="560" w:firstLineChars="200"/>
        <w:jc w:val="both"/>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对单日买入开仓：</w:t>
      </w:r>
      <w:r>
        <w:rPr>
          <w:rFonts w:hint="default" w:ascii="Times New Roman" w:hAnsi="Times New Roman" w:eastAsia="仿宋_GB2312"/>
          <w:kern w:val="2"/>
          <w:sz w:val="28"/>
          <w:szCs w:val="28"/>
        </w:rPr>
        <w:t>该合约品种当日已累计买入开仓数量（撤单需扣减实际撤单数量）+该笔买入开仓数量</w:t>
      </w:r>
      <w:r>
        <w:rPr>
          <w:rFonts w:ascii="Times New Roman" w:hAnsi="Times New Roman" w:eastAsia="仿宋_GB2312"/>
          <w:kern w:val="2"/>
          <w:sz w:val="28"/>
          <w:szCs w:val="28"/>
        </w:rPr>
        <w:t>≤</w:t>
      </w:r>
      <w:r>
        <w:rPr>
          <w:rFonts w:hint="default" w:ascii="Times New Roman" w:hAnsi="Times New Roman" w:eastAsia="仿宋_GB2312"/>
          <w:kern w:val="2"/>
          <w:sz w:val="28"/>
          <w:szCs w:val="28"/>
        </w:rPr>
        <w:t>该合约品种单日买入开仓限额，否则该笔开仓无效。（平仓后不计增单日可买入开仓额度）</w:t>
      </w:r>
      <w:r>
        <w:rPr>
          <w:rFonts w:hint="default" w:ascii="Times New Roman" w:hAnsi="Times New Roman" w:eastAsia="仿宋_GB2312" w:cs="Times New Roman"/>
          <w:sz w:val="28"/>
          <w:szCs w:val="28"/>
        </w:rPr>
        <w:t>。</w:t>
      </w:r>
    </w:p>
    <w:p w14:paraId="0485EF62">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证券公司应就上述针对同一合约品种的持仓数量设置持仓比例预警值，确保投资者、证券公司经纪业务对同一合约品种的持仓不超过</w:t>
      </w:r>
      <w:r>
        <w:rPr>
          <w:rFonts w:hint="default" w:ascii="Times New Roman" w:hAnsi="Times New Roman" w:eastAsia="仿宋_GB2312"/>
          <w:sz w:val="28"/>
          <w:szCs w:val="28"/>
        </w:rPr>
        <w:t>本所</w:t>
      </w:r>
      <w:r>
        <w:rPr>
          <w:rFonts w:hint="default" w:ascii="Times New Roman" w:hAnsi="Times New Roman" w:eastAsia="仿宋_GB2312"/>
          <w:kern w:val="2"/>
          <w:sz w:val="28"/>
          <w:szCs w:val="28"/>
        </w:rPr>
        <w:t>规定的持仓限额。同一合约品种持仓比例=对单个合约品种持仓数量之和/持仓限额。</w:t>
      </w:r>
    </w:p>
    <w:p w14:paraId="4A63460A">
      <w:pPr>
        <w:ind w:firstLine="560" w:firstLineChars="200"/>
        <w:rPr>
          <w:rFonts w:hint="eastAsia" w:ascii="Times New Roman" w:hAnsi="Times New Roman" w:eastAsia="仿宋_GB2312"/>
          <w:color w:val="auto"/>
          <w:sz w:val="28"/>
          <w:szCs w:val="28"/>
        </w:rPr>
      </w:pPr>
      <w:r>
        <w:rPr>
          <w:rFonts w:hint="eastAsia" w:ascii="Times New Roman" w:hAnsi="Times New Roman" w:eastAsia="仿宋_GB2312" w:cs="仿宋_GB2312"/>
          <w:sz w:val="28"/>
          <w:szCs w:val="28"/>
        </w:rPr>
        <w:t>为了对整个经纪业务持仓风险进行控制，证券公司应当对经纪业务中同一合约品种的总持仓进行前端控制。对于经纪业务同一合约品种总持仓占持仓限额比例达到一定</w:t>
      </w:r>
      <w:r>
        <w:rPr>
          <w:rFonts w:ascii="Times New Roman" w:hAnsi="Times New Roman" w:eastAsia="仿宋_GB2312"/>
          <w:sz w:val="28"/>
          <w:szCs w:val="28"/>
        </w:rPr>
        <w:t>阈值</w:t>
      </w:r>
      <w:r>
        <w:rPr>
          <w:rFonts w:hint="eastAsia" w:ascii="Times New Roman" w:hAnsi="Times New Roman" w:eastAsia="仿宋_GB2312" w:cs="仿宋_GB2312"/>
          <w:sz w:val="28"/>
          <w:szCs w:val="28"/>
        </w:rPr>
        <w:t>（比如80%，证券公司可以结合本公司实际情况确定</w:t>
      </w:r>
      <w:r>
        <w:rPr>
          <w:rFonts w:ascii="Times New Roman" w:hAnsi="Times New Roman" w:eastAsia="仿宋_GB2312"/>
          <w:sz w:val="28"/>
          <w:szCs w:val="28"/>
        </w:rPr>
        <w:t>阈值</w:t>
      </w:r>
      <w:r>
        <w:rPr>
          <w:rFonts w:hint="eastAsia" w:ascii="Times New Roman" w:hAnsi="Times New Roman" w:eastAsia="仿宋_GB2312" w:cs="仿宋_GB2312"/>
          <w:sz w:val="28"/>
          <w:szCs w:val="28"/>
        </w:rPr>
        <w:t>）时，证券公司根据自身情况决定是否向本所提出调高总持仓限额的申请。若需调整总持仓限额，需提交相关申请材料，本所将根据市场情况以及申请人的申请材料、资信状况、交易情况等，对其额度申请进行审核。</w:t>
      </w:r>
    </w:p>
    <w:p w14:paraId="62D9A79E">
      <w:pPr>
        <w:pStyle w:val="95"/>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表1 同一合约品种持仓限额设置（单位：张）</w:t>
      </w:r>
    </w:p>
    <w:tbl>
      <w:tblPr>
        <w:tblStyle w:val="3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1903"/>
        <w:gridCol w:w="1901"/>
        <w:gridCol w:w="2275"/>
      </w:tblGrid>
      <w:tr w14:paraId="25974E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705" w:type="dxa"/>
            <w:gridSpan w:val="3"/>
            <w:vAlign w:val="center"/>
          </w:tcPr>
          <w:p w14:paraId="4A32A4C7">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单个账户</w:t>
            </w:r>
          </w:p>
        </w:tc>
        <w:tc>
          <w:tcPr>
            <w:tcW w:w="2275" w:type="dxa"/>
            <w:tcBorders>
              <w:right w:val="single" w:color="auto" w:sz="4" w:space="0"/>
            </w:tcBorders>
            <w:vAlign w:val="center"/>
          </w:tcPr>
          <w:p w14:paraId="3C6AA526">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证券公司</w:t>
            </w:r>
          </w:p>
        </w:tc>
      </w:tr>
      <w:tr w14:paraId="48EF57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5705" w:type="dxa"/>
            <w:gridSpan w:val="3"/>
            <w:vAlign w:val="center"/>
          </w:tcPr>
          <w:p w14:paraId="74BD5A23">
            <w:pPr>
              <w:widowControl/>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投资者（包括个人投资者、机构投资者和自营）</w:t>
            </w:r>
          </w:p>
        </w:tc>
        <w:tc>
          <w:tcPr>
            <w:tcW w:w="2275" w:type="dxa"/>
            <w:tcBorders>
              <w:right w:val="single" w:color="auto" w:sz="4" w:space="0"/>
            </w:tcBorders>
            <w:vAlign w:val="center"/>
          </w:tcPr>
          <w:p w14:paraId="14B1A7DD">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经纪</w:t>
            </w:r>
          </w:p>
        </w:tc>
      </w:tr>
      <w:tr w14:paraId="5FE831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01" w:type="dxa"/>
            <w:vAlign w:val="center"/>
          </w:tcPr>
          <w:p w14:paraId="786C0EC0">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权利仓持仓限额</w:t>
            </w:r>
          </w:p>
        </w:tc>
        <w:tc>
          <w:tcPr>
            <w:tcW w:w="1903" w:type="dxa"/>
            <w:vAlign w:val="center"/>
          </w:tcPr>
          <w:p w14:paraId="40CC9891">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总持仓限额</w:t>
            </w:r>
          </w:p>
        </w:tc>
        <w:tc>
          <w:tcPr>
            <w:tcW w:w="1901" w:type="dxa"/>
            <w:vAlign w:val="center"/>
          </w:tcPr>
          <w:p w14:paraId="0F7FDCB1">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单日买入开仓限额（单日开仓限额）</w:t>
            </w:r>
          </w:p>
        </w:tc>
        <w:tc>
          <w:tcPr>
            <w:tcW w:w="2275" w:type="dxa"/>
            <w:tcBorders>
              <w:right w:val="single" w:color="auto" w:sz="4" w:space="0"/>
            </w:tcBorders>
            <w:vAlign w:val="center"/>
          </w:tcPr>
          <w:p w14:paraId="1D25E796">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总持仓限额</w:t>
            </w:r>
          </w:p>
        </w:tc>
      </w:tr>
      <w:tr w14:paraId="11FE3E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901" w:type="dxa"/>
            <w:vAlign w:val="center"/>
          </w:tcPr>
          <w:p w14:paraId="4D900447">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w:t>
            </w:r>
          </w:p>
        </w:tc>
        <w:tc>
          <w:tcPr>
            <w:tcW w:w="1903" w:type="dxa"/>
            <w:vAlign w:val="center"/>
          </w:tcPr>
          <w:p w14:paraId="5CB466DC">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w:t>
            </w:r>
          </w:p>
        </w:tc>
        <w:tc>
          <w:tcPr>
            <w:tcW w:w="1901" w:type="dxa"/>
            <w:vAlign w:val="center"/>
          </w:tcPr>
          <w:p w14:paraId="6AA8AF8F">
            <w:pPr>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w:t>
            </w:r>
          </w:p>
        </w:tc>
        <w:tc>
          <w:tcPr>
            <w:tcW w:w="2275" w:type="dxa"/>
            <w:tcBorders>
              <w:right w:val="single" w:color="auto" w:sz="4" w:space="0"/>
            </w:tcBorders>
            <w:vAlign w:val="center"/>
          </w:tcPr>
          <w:p w14:paraId="4033738F">
            <w:pPr>
              <w:widowControl/>
              <w:jc w:val="center"/>
              <w:rPr>
                <w:rFonts w:hint="default"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w:t>
            </w:r>
          </w:p>
        </w:tc>
      </w:tr>
    </w:tbl>
    <w:p w14:paraId="1A146750">
      <w:pPr>
        <w:spacing w:before="0" w:beforeLines="-2147483648" w:after="0" w:afterLines="-2147483648"/>
        <w:ind w:firstLine="560" w:firstLineChars="200"/>
        <w:rPr>
          <w:rFonts w:ascii="Times New Roman" w:hAnsi="Times New Roman" w:eastAsia="楷体_GB2312" w:cs="Times New Roman"/>
          <w:kern w:val="2"/>
          <w:sz w:val="28"/>
          <w:szCs w:val="28"/>
        </w:rPr>
      </w:pPr>
      <w:bookmarkStart w:id="222" w:name="_Toc14171"/>
      <w:bookmarkStart w:id="223" w:name="_Toc10828"/>
      <w:bookmarkStart w:id="224" w:name="_Toc452017016"/>
      <w:bookmarkStart w:id="225" w:name="_Toc452016941"/>
      <w:bookmarkStart w:id="226" w:name="_Toc13567"/>
      <w:bookmarkStart w:id="227" w:name="_Toc452016762"/>
      <w:r>
        <w:rPr>
          <w:rFonts w:hint="default" w:ascii="Times New Roman" w:hAnsi="Times New Roman" w:eastAsia="楷体_GB2312" w:cs="Times New Roman"/>
          <w:b w:val="0"/>
          <w:bCs w:val="0"/>
          <w:kern w:val="2"/>
          <w:sz w:val="28"/>
          <w:szCs w:val="28"/>
        </w:rPr>
        <w:t>（</w:t>
      </w:r>
      <w:r>
        <w:rPr>
          <w:rFonts w:hint="eastAsia" w:ascii="Times New Roman" w:hAnsi="Times New Roman" w:eastAsia="楷体_GB2312" w:cs="Times New Roman"/>
          <w:b w:val="0"/>
          <w:bCs w:val="0"/>
          <w:kern w:val="2"/>
          <w:sz w:val="28"/>
          <w:szCs w:val="28"/>
          <w:lang w:eastAsia="zh-CN"/>
        </w:rPr>
        <w:t>三</w:t>
      </w:r>
      <w:r>
        <w:rPr>
          <w:rFonts w:hint="default" w:ascii="Times New Roman" w:hAnsi="Times New Roman" w:eastAsia="楷体_GB2312" w:cs="Times New Roman"/>
          <w:b w:val="0"/>
          <w:bCs w:val="0"/>
          <w:kern w:val="2"/>
          <w:sz w:val="28"/>
          <w:szCs w:val="28"/>
        </w:rPr>
        <w:t>）持仓限额占用预警与调整</w:t>
      </w:r>
      <w:bookmarkEnd w:id="222"/>
      <w:bookmarkEnd w:id="223"/>
      <w:bookmarkEnd w:id="224"/>
      <w:bookmarkEnd w:id="225"/>
      <w:bookmarkEnd w:id="226"/>
      <w:bookmarkEnd w:id="227"/>
    </w:p>
    <w:p w14:paraId="00BA5DEB">
      <w:pPr>
        <w:spacing w:before="0" w:beforeLines="-2147483648" w:after="0" w:afterLines="-2147483648"/>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1.证券公司</w:t>
      </w:r>
      <w:r>
        <w:rPr>
          <w:rFonts w:hint="default" w:ascii="Times New Roman" w:hAnsi="Times New Roman" w:eastAsia="仿宋_GB2312" w:cs="Times New Roman"/>
          <w:kern w:val="2"/>
          <w:sz w:val="28"/>
          <w:szCs w:val="28"/>
        </w:rPr>
        <w:t>以合约账户为单位对投资者的持仓限额</w:t>
      </w:r>
      <w:r>
        <w:rPr>
          <w:rFonts w:hint="default" w:ascii="Times New Roman" w:hAnsi="Times New Roman" w:eastAsia="仿宋_GB2312" w:cs="Times New Roman"/>
          <w:sz w:val="28"/>
          <w:szCs w:val="28"/>
        </w:rPr>
        <w:t>进行前端控制。对超过限额导致的申报失败应有提醒。</w:t>
      </w:r>
    </w:p>
    <w:p w14:paraId="495C23A5">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cs="Times New Roman"/>
          <w:sz w:val="28"/>
          <w:szCs w:val="28"/>
        </w:rPr>
        <w:t>2.对因本所持仓限额调整</w:t>
      </w:r>
      <w:r>
        <w:rPr>
          <w:rFonts w:hint="default" w:ascii="Times New Roman" w:hAnsi="Times New Roman" w:eastAsia="仿宋_GB2312"/>
          <w:kern w:val="2"/>
          <w:sz w:val="28"/>
          <w:szCs w:val="28"/>
        </w:rPr>
        <w:t>或投资者申请的持仓限额到期导致投资者持仓超限，证券公司不需要求投资者自行平仓或对投资者的超额持仓进行强行平仓，但对开仓需按新的持仓限额进行限制。对投资者额度使用情况与申请不符的，证券公司应及时对该投资者限制开仓并要求其自行平仓，同时及时向交易所报告。</w:t>
      </w:r>
    </w:p>
    <w:p w14:paraId="294D320D">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3.在本所持仓限额范围内，若客户存在频繁的强行平仓、交易违规等情况，证券公司可对客户的持仓限额进行下调，证券公司应当至少提前三个交易日将调整情况告知客户。如客户持仓超过新核定持仓额度，证券公司可采取限制新开仓、要求客户自行平仓等措施。</w:t>
      </w:r>
    </w:p>
    <w:p w14:paraId="01E0EF61">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若客户主动申请调低持仓限额，证券公司应当同意，并按其申请额度进行配置。</w:t>
      </w:r>
    </w:p>
    <w:p w14:paraId="47657FE9">
      <w:pPr>
        <w:spacing w:before="0" w:beforeLines="-2147483648" w:after="0" w:afterLines="-2147483648"/>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4.对违反本所规定（不含上述第</w:t>
      </w:r>
      <w:r>
        <w:rPr>
          <w:rFonts w:hint="eastAsia" w:ascii="Times New Roman" w:hAnsi="Times New Roman" w:eastAsia="仿宋_GB2312"/>
          <w:sz w:val="28"/>
          <w:szCs w:val="28"/>
        </w:rPr>
        <w:t>2</w:t>
      </w:r>
      <w:r>
        <w:rPr>
          <w:rFonts w:hint="default" w:ascii="Times New Roman" w:hAnsi="Times New Roman" w:eastAsia="仿宋_GB2312"/>
          <w:kern w:val="2"/>
          <w:sz w:val="28"/>
          <w:szCs w:val="28"/>
        </w:rPr>
        <w:t>项）的超额持仓或开仓，如前端控制失效导致持仓超过</w:t>
      </w:r>
      <w:r>
        <w:rPr>
          <w:rFonts w:hint="default" w:ascii="Times New Roman" w:hAnsi="Times New Roman" w:eastAsia="仿宋_GB2312" w:cs="Times New Roman"/>
          <w:sz w:val="28"/>
          <w:szCs w:val="28"/>
        </w:rPr>
        <w:t>本所</w:t>
      </w:r>
      <w:r>
        <w:rPr>
          <w:rFonts w:hint="default" w:ascii="Times New Roman" w:hAnsi="Times New Roman" w:eastAsia="仿宋_GB2312"/>
          <w:kern w:val="2"/>
          <w:sz w:val="28"/>
          <w:szCs w:val="28"/>
        </w:rPr>
        <w:t>规定水平，证券公司应及时对投资者的超额持仓进行强行平仓，否则本所将按相关规定对证券公司进行处理。</w:t>
      </w:r>
    </w:p>
    <w:p w14:paraId="277933DE">
      <w:pPr>
        <w:widowControl w:val="0"/>
        <w:spacing w:after="0" w:line="240" w:lineRule="auto"/>
        <w:ind w:left="0" w:right="0" w:firstLine="560" w:firstLineChars="200"/>
        <w:rPr>
          <w:rFonts w:ascii="Times New Roman" w:hAnsi="Times New Roman" w:eastAsia="仿宋_GB2312"/>
          <w:sz w:val="28"/>
          <w:szCs w:val="28"/>
        </w:rPr>
      </w:pPr>
      <w:r>
        <w:rPr>
          <w:rFonts w:hint="default" w:ascii="Times New Roman" w:hAnsi="Times New Roman" w:eastAsia="仿宋_GB2312" w:cs="Times New Roman"/>
          <w:sz w:val="28"/>
          <w:szCs w:val="28"/>
        </w:rPr>
        <w:t>5.</w:t>
      </w:r>
      <w:r>
        <w:rPr>
          <w:rFonts w:hint="default" w:ascii="Times New Roman" w:hAnsi="Times New Roman" w:eastAsia="仿宋_GB2312"/>
          <w:kern w:val="2"/>
          <w:sz w:val="28"/>
          <w:szCs w:val="28"/>
        </w:rPr>
        <w:t>投资者因套保等需要可以通过证券公司向本所申请提高持仓限额。</w:t>
      </w:r>
    </w:p>
    <w:p w14:paraId="7A3DFF2F">
      <w:pPr>
        <w:widowControl w:val="0"/>
        <w:ind w:firstLine="560" w:firstLineChars="200"/>
        <w:jc w:val="both"/>
        <w:rPr>
          <w:rFonts w:ascii="Times New Roman" w:hAnsi="Times New Roman" w:eastAsia="仿宋_GB2312"/>
          <w:kern w:val="2"/>
          <w:sz w:val="28"/>
          <w:szCs w:val="28"/>
        </w:rPr>
      </w:pPr>
      <w:r>
        <w:rPr>
          <w:rFonts w:hint="default" w:ascii="Times New Roman" w:hAnsi="Times New Roman" w:eastAsia="仿宋_GB2312"/>
          <w:kern w:val="2"/>
          <w:sz w:val="28"/>
          <w:szCs w:val="28"/>
        </w:rPr>
        <w:t>6.投资者符合本所相关规定可以调高持仓限额的，证券公司应当及时、主动为投资者进行相应的持仓限额调整，无需投资者提交申请，并尽快将持仓限额调整的情况通知到客户。</w:t>
      </w:r>
    </w:p>
    <w:bookmarkEnd w:id="220"/>
    <w:bookmarkEnd w:id="221"/>
    <w:p w14:paraId="3FD5B194">
      <w:pPr>
        <w:adjustRightInd/>
        <w:snapToGrid/>
        <w:spacing w:line="240" w:lineRule="auto"/>
        <w:ind w:firstLine="560" w:firstLineChars="200"/>
        <w:jc w:val="both"/>
        <w:rPr>
          <w:rFonts w:ascii="Times New Roman" w:hAnsi="Times New Roman" w:eastAsia="仿宋_GB2312" w:cs="Times New Roman"/>
          <w:sz w:val="28"/>
          <w:szCs w:val="28"/>
        </w:rPr>
      </w:pPr>
      <w:r>
        <w:rPr>
          <w:rFonts w:hint="default" w:ascii="Times New Roman" w:hAnsi="Times New Roman" w:eastAsia="仿宋_GB2312" w:cs="Times New Roman"/>
          <w:kern w:val="2"/>
          <w:sz w:val="28"/>
          <w:szCs w:val="28"/>
        </w:rPr>
        <w:t>7.投资者持有多个合约账户时，在提供合约账户相关凭证或交易记录的情况下，证券公司可以将其合约账户中最高的持仓限额作为其他合约账户的持仓限额。</w:t>
      </w:r>
    </w:p>
    <w:p w14:paraId="31DF53A1">
      <w:pPr>
        <w:ind w:firstLine="560" w:firstLineChars="200"/>
        <w:outlineLvl w:val="1"/>
        <w:rPr>
          <w:rFonts w:ascii="Times New Roman" w:hAnsi="Times New Roman" w:eastAsia="黑体"/>
          <w:sz w:val="28"/>
          <w:szCs w:val="28"/>
        </w:rPr>
      </w:pPr>
      <w:bookmarkStart w:id="228" w:name="_Toc406438909"/>
      <w:bookmarkStart w:id="229" w:name="_Toc404185886"/>
      <w:bookmarkStart w:id="230" w:name="_Toc408749995"/>
      <w:bookmarkStart w:id="231" w:name="_Toc215740295"/>
      <w:bookmarkStart w:id="232" w:name="_Toc27165"/>
      <w:bookmarkStart w:id="233" w:name="_Toc452017017"/>
      <w:bookmarkStart w:id="234" w:name="_Toc30587"/>
      <w:bookmarkStart w:id="235" w:name="_Toc22958"/>
      <w:bookmarkStart w:id="236" w:name="_Toc23947151"/>
      <w:r>
        <w:rPr>
          <w:rFonts w:hint="eastAsia" w:ascii="Times New Roman" w:hAnsi="Times New Roman" w:eastAsia="黑体" w:cs="仿宋_GB2312"/>
          <w:sz w:val="28"/>
          <w:szCs w:val="28"/>
        </w:rPr>
        <w:t>二</w:t>
      </w:r>
      <w:r>
        <w:rPr>
          <w:rFonts w:hint="eastAsia" w:ascii="Times New Roman" w:hAnsi="Times New Roman" w:eastAsia="黑体"/>
          <w:sz w:val="28"/>
          <w:szCs w:val="28"/>
        </w:rPr>
        <w:t>、客户买入额度管理</w:t>
      </w:r>
      <w:bookmarkEnd w:id="228"/>
      <w:bookmarkEnd w:id="229"/>
      <w:bookmarkEnd w:id="230"/>
      <w:r>
        <w:rPr>
          <w:rFonts w:hint="eastAsia" w:ascii="Times New Roman" w:hAnsi="Times New Roman" w:eastAsia="黑体"/>
          <w:sz w:val="28"/>
          <w:szCs w:val="28"/>
        </w:rPr>
        <w:t>（限购）</w:t>
      </w:r>
      <w:bookmarkEnd w:id="231"/>
      <w:bookmarkEnd w:id="232"/>
      <w:bookmarkEnd w:id="233"/>
      <w:bookmarkEnd w:id="234"/>
      <w:bookmarkEnd w:id="235"/>
      <w:bookmarkEnd w:id="236"/>
    </w:p>
    <w:p w14:paraId="4FE77533">
      <w:pPr>
        <w:ind w:firstLine="560" w:firstLineChars="200"/>
        <w:rPr>
          <w:rFonts w:ascii="Times New Roman" w:hAnsi="Times New Roman" w:eastAsia="楷体_GB2312"/>
          <w:b w:val="0"/>
          <w:sz w:val="28"/>
          <w:szCs w:val="28"/>
        </w:rPr>
      </w:pPr>
      <w:bookmarkStart w:id="237" w:name="_Toc404185887"/>
      <w:bookmarkStart w:id="238" w:name="_Toc406438910"/>
      <w:r>
        <w:rPr>
          <w:rFonts w:hint="default" w:ascii="Times New Roman" w:hAnsi="Times New Roman" w:eastAsia="楷体_GB2312"/>
          <w:b w:val="0"/>
          <w:sz w:val="28"/>
          <w:szCs w:val="28"/>
        </w:rPr>
        <w:t>（一）限购前端控制</w:t>
      </w:r>
      <w:bookmarkEnd w:id="237"/>
      <w:bookmarkEnd w:id="238"/>
    </w:p>
    <w:p w14:paraId="63B7AE04">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股票期权业务对个人投资者实行买入额度管理，即限购。证券公司</w:t>
      </w:r>
      <w:r>
        <w:rPr>
          <w:rFonts w:hint="default" w:ascii="Times New Roman" w:hAnsi="Times New Roman" w:eastAsia="仿宋_GB2312"/>
          <w:kern w:val="2"/>
          <w:sz w:val="28"/>
          <w:szCs w:val="28"/>
        </w:rPr>
        <w:t>以合约账户为单位对投资者买入金额进行前端控制，</w:t>
      </w:r>
      <w:r>
        <w:rPr>
          <w:rFonts w:hint="default" w:ascii="Times New Roman" w:hAnsi="Times New Roman" w:eastAsia="仿宋_GB2312" w:cs="Times New Roman"/>
          <w:sz w:val="28"/>
          <w:szCs w:val="28"/>
        </w:rPr>
        <w:t>对超过额度导致的申报失败在交易客户端界面进行提醒及解释。</w:t>
      </w:r>
    </w:p>
    <w:p w14:paraId="30280057">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证券公司可根据自身情况，结合个人客户的资产状况、适当性综合评估结果等因素，规定客户的限购额度，该限额不得超过本所规定的限购额度。证券公司总部负责客户限购额度的审核。</w:t>
      </w:r>
    </w:p>
    <w:p w14:paraId="0259E7E5">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本所规定个人客户用于</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期权买入开仓的资金规模，不得超过下述金额中较高者（已申请并获本所批准的套保额度账户除外）：</w:t>
      </w:r>
    </w:p>
    <w:p w14:paraId="242CDEE3">
      <w:pPr>
        <w:numPr>
          <w:ilvl w:val="0"/>
          <w:numId w:val="0"/>
        </w:numPr>
        <w:ind w:firstLine="560" w:firstLineChars="200"/>
        <w:rPr>
          <w:rFonts w:ascii="Times New Roman" w:hAnsi="Times New Roman" w:eastAsia="仿宋_GB2312" w:cs="Times New Roman"/>
          <w:kern w:val="2"/>
          <w:sz w:val="28"/>
          <w:szCs w:val="28"/>
        </w:rPr>
      </w:pPr>
      <w:r>
        <w:rPr>
          <w:rFonts w:hint="eastAsia" w:ascii="Times New Roman" w:hAnsi="Times New Roman" w:eastAsia="仿宋_GB2312"/>
          <w:sz w:val="28"/>
          <w:szCs w:val="28"/>
        </w:rPr>
        <w:t>（1）</w:t>
      </w:r>
      <w:r>
        <w:rPr>
          <w:rFonts w:hint="default" w:ascii="Times New Roman" w:hAnsi="Times New Roman" w:eastAsia="仿宋_GB2312" w:cs="Times New Roman"/>
          <w:sz w:val="28"/>
          <w:szCs w:val="28"/>
        </w:rPr>
        <w:t>客户由证券公司托管的</w:t>
      </w:r>
      <w:r>
        <w:rPr>
          <w:rFonts w:hint="default" w:ascii="Times New Roman" w:hAnsi="Times New Roman" w:eastAsia="仿宋_GB2312"/>
          <w:sz w:val="28"/>
          <w:szCs w:val="28"/>
        </w:rPr>
        <w:t>自有资产余额</w:t>
      </w:r>
      <w:r>
        <w:rPr>
          <w:rFonts w:hint="default" w:ascii="Times New Roman" w:hAnsi="Times New Roman" w:eastAsia="仿宋_GB2312" w:cs="Times New Roman"/>
          <w:sz w:val="28"/>
          <w:szCs w:val="28"/>
        </w:rPr>
        <w:t>10%。</w:t>
      </w:r>
      <w:r>
        <w:rPr>
          <w:rFonts w:hint="default" w:ascii="Times New Roman" w:hAnsi="Times New Roman" w:eastAsia="仿宋_GB2312" w:cs="Times New Roman"/>
          <w:kern w:val="2"/>
          <w:sz w:val="28"/>
          <w:szCs w:val="28"/>
        </w:rPr>
        <w:t>对于风险承受能力较强且具备三级交易权限的客户，证券公司可以将其买入金额限额提高至不超过该客户托管在该证券公司的自有资产余额的20%；对于权利仓持仓限额已达到2000张的客户，证券公司可以将其买入金额限额提高至不超过该客户托管在该证券公司的自有资产余额的30%。</w:t>
      </w:r>
    </w:p>
    <w:p w14:paraId="6F0FC098">
      <w:pPr>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证券公司可采用投资者最近一次风险承受能力评估结果，投资者的风险等级应不得低于“稳健型”，具体认定由证券公司结合客户的实际情况进行判断。</w:t>
      </w:r>
    </w:p>
    <w:p w14:paraId="4E932335">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kern w:val="2"/>
          <w:sz w:val="28"/>
          <w:szCs w:val="28"/>
        </w:rPr>
        <w:t>自有资产余额指投资者托管在该证券公司的证券市值与资金账户可用余额（不含通过融资融券交易融入的证券和资金）。其中，证券市值包括</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期权合约市值，计算方法为：</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期权合约市值=∑</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期权合约实时成交价或最新结算价×合约单位×合约张数×（±1）。当投资者持有权利仓时，</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期权合约市值计为正值；当投资者持有义务仓时，</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期权合约市值计为负值。</w:t>
      </w:r>
    </w:p>
    <w:p w14:paraId="6474ED05">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（2）前6个月日均持有沪深市证券市值的20%。</w:t>
      </w:r>
    </w:p>
    <w:p w14:paraId="68216F8B">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买入金额上限由证券公司计算并予以前端控制。买入金额按万取整</w:t>
      </w:r>
      <w:r>
        <w:rPr>
          <w:rFonts w:ascii="Times New Roman" w:hAnsi="Times New Roman" w:eastAsia="仿宋_GB2312"/>
          <w:sz w:val="28"/>
          <w:szCs w:val="28"/>
        </w:rPr>
        <w:t>，</w:t>
      </w:r>
      <w:r>
        <w:rPr>
          <w:rFonts w:hint="default" w:ascii="Times New Roman" w:hAnsi="Times New Roman" w:eastAsia="仿宋_GB2312" w:cs="Times New Roman"/>
          <w:sz w:val="28"/>
          <w:szCs w:val="28"/>
        </w:rPr>
        <w:t>如max{</w:t>
      </w:r>
      <w:r>
        <w:rPr>
          <w:rFonts w:hint="default" w:ascii="Times New Roman" w:hAnsi="Times New Roman" w:eastAsia="仿宋_GB2312"/>
          <w:sz w:val="28"/>
          <w:szCs w:val="28"/>
        </w:rPr>
        <w:t>自有资产余额</w:t>
      </w:r>
      <w:r>
        <w:rPr>
          <w:rFonts w:hint="default" w:ascii="Times New Roman" w:hAnsi="Times New Roman" w:eastAsia="仿宋_GB2312" w:cs="Times New Roman"/>
          <w:sz w:val="28"/>
          <w:szCs w:val="28"/>
        </w:rPr>
        <w:t>的10%，前6个月日均持有沪深市证券市值的20%}=max{4.3万，9.5万}，应设为9万。买入金额不足1万的，设为1万。</w:t>
      </w:r>
    </w:p>
    <w:p w14:paraId="20D683DE">
      <w:pPr>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证券公司前端控制参考算法（对每笔买入开仓申报）：∑（该账户持有各合约权利仓持仓张数</w:t>
      </w:r>
      <w:r>
        <w:rPr>
          <w:rFonts w:ascii="Times New Roman" w:hAnsi="Times New Roman" w:eastAsia="仿宋_GB2312"/>
          <w:sz w:val="28"/>
          <w:szCs w:val="28"/>
        </w:rPr>
        <w:t>×</w:t>
      </w:r>
      <w:r>
        <w:rPr>
          <w:rFonts w:hint="default" w:ascii="Times New Roman" w:hAnsi="Times New Roman" w:eastAsia="仿宋_GB2312"/>
          <w:kern w:val="2"/>
          <w:sz w:val="28"/>
          <w:szCs w:val="28"/>
        </w:rPr>
        <w:t>持仓成本）+已申报买入开仓但未成交金额+该笔买入金额&gt;买入额度（由证券公司核定并向本所报备的额度），则该笔申报无效。</w:t>
      </w:r>
    </w:p>
    <w:p w14:paraId="1343D53E">
      <w:pPr>
        <w:spacing w:before="0" w:after="0"/>
        <w:ind w:firstLine="560" w:firstLineChars="200"/>
        <w:rPr>
          <w:rFonts w:ascii="Times New Roman" w:hAnsi="Times New Roman" w:eastAsia="楷体_GB2312"/>
          <w:kern w:val="2"/>
          <w:sz w:val="28"/>
          <w:szCs w:val="28"/>
        </w:rPr>
      </w:pPr>
      <w:r>
        <w:rPr>
          <w:rFonts w:hint="default" w:ascii="Times New Roman" w:hAnsi="Times New Roman" w:eastAsia="楷体_GB2312"/>
          <w:b w:val="0"/>
          <w:bCs w:val="0"/>
          <w:kern w:val="2"/>
          <w:sz w:val="28"/>
          <w:szCs w:val="28"/>
        </w:rPr>
        <w:t>（二）限购额度调整</w:t>
      </w:r>
    </w:p>
    <w:p w14:paraId="2D882BBE">
      <w:pPr>
        <w:spacing w:before="0" w:after="0"/>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1.证券公司日常应接受客户提高或降低买入额度的申请，经审核通过后生效。</w:t>
      </w:r>
    </w:p>
    <w:p w14:paraId="4F068193">
      <w:pPr>
        <w:spacing w:before="0" w:after="0"/>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2.证券公司可自行设定针对客户买入额度的调整频率，但每个自然年度至少调整一次。例如，2015年开户的客户（包括尚未调整和调整过买入额度的客户），2016年度应至少调整一次，具体调整时间各期权经营机构可以自行确定。额度调整下一交易日生效，证券公司应及时提醒客户额度变更情况。</w:t>
      </w:r>
    </w:p>
    <w:p w14:paraId="6393C55B">
      <w:pPr>
        <w:spacing w:before="0" w:after="0"/>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rPr>
        <w:t>3.证券公司对客户买入额度调整后</w:t>
      </w:r>
      <w:r>
        <w:rPr>
          <w:rFonts w:ascii="Times New Roman" w:hAnsi="Times New Roman" w:eastAsia="仿宋_GB2312"/>
          <w:kern w:val="2"/>
          <w:sz w:val="28"/>
          <w:szCs w:val="28"/>
        </w:rPr>
        <w:t>，</w:t>
      </w:r>
      <w:r>
        <w:rPr>
          <w:rFonts w:hint="default" w:ascii="Times New Roman" w:hAnsi="Times New Roman" w:eastAsia="仿宋_GB2312"/>
          <w:kern w:val="2"/>
          <w:sz w:val="28"/>
          <w:szCs w:val="28"/>
        </w:rPr>
        <w:t>应按调整后的买入额度对客户进行前端控制，如存在客户买入持仓超过新核定买入额度或调整后的买入额度为零的</w:t>
      </w:r>
      <w:r>
        <w:rPr>
          <w:rFonts w:ascii="Times New Roman" w:hAnsi="Times New Roman" w:eastAsia="仿宋_GB2312"/>
          <w:kern w:val="2"/>
          <w:sz w:val="28"/>
          <w:szCs w:val="28"/>
        </w:rPr>
        <w:t>，</w:t>
      </w:r>
      <w:r>
        <w:rPr>
          <w:rFonts w:hint="default" w:ascii="Times New Roman" w:hAnsi="Times New Roman" w:eastAsia="仿宋_GB2312"/>
          <w:kern w:val="2"/>
          <w:sz w:val="28"/>
          <w:szCs w:val="28"/>
        </w:rPr>
        <w:t>不需要求客户进行平仓（对因额度调整导致的持仓超限需要技术系统进行区分）</w:t>
      </w:r>
      <w:r>
        <w:rPr>
          <w:rFonts w:ascii="Times New Roman" w:hAnsi="Times New Roman" w:eastAsia="仿宋_GB2312"/>
          <w:kern w:val="2"/>
          <w:sz w:val="28"/>
          <w:szCs w:val="28"/>
        </w:rPr>
        <w:t>，</w:t>
      </w:r>
      <w:r>
        <w:rPr>
          <w:rFonts w:hint="default" w:ascii="Times New Roman" w:hAnsi="Times New Roman" w:eastAsia="仿宋_GB2312"/>
          <w:kern w:val="2"/>
          <w:sz w:val="28"/>
          <w:szCs w:val="28"/>
        </w:rPr>
        <w:t>该客户现有持仓可以持有到期，但不能新增权利仓持仓。</w:t>
      </w:r>
    </w:p>
    <w:p w14:paraId="5C1E1DA9">
      <w:pPr>
        <w:ind w:firstLine="560" w:firstLineChars="200"/>
        <w:rPr>
          <w:rFonts w:ascii="Times New Roman" w:hAnsi="Times New Roman" w:eastAsia="仿宋_GB2312" w:cs="Times New Roman"/>
          <w:sz w:val="28"/>
          <w:szCs w:val="28"/>
        </w:rPr>
      </w:pPr>
      <w:r>
        <w:rPr>
          <w:rFonts w:hint="default" w:ascii="Times New Roman" w:hAnsi="Times New Roman" w:eastAsia="仿宋_GB2312"/>
          <w:kern w:val="2"/>
          <w:sz w:val="28"/>
          <w:szCs w:val="28"/>
        </w:rPr>
        <w:t>4.</w:t>
      </w:r>
      <w:r>
        <w:rPr>
          <w:rFonts w:hint="default" w:ascii="Times New Roman" w:hAnsi="Times New Roman" w:eastAsia="仿宋_GB2312" w:cs="Times New Roman"/>
          <w:sz w:val="28"/>
          <w:szCs w:val="28"/>
        </w:rPr>
        <w:t>对于存在频繁强平记录和交易违规情况的客户，证券公司可调低限购额度，调整后证券公司应及时告知客户。</w:t>
      </w:r>
    </w:p>
    <w:p w14:paraId="4B59091C">
      <w:pPr>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5.如本所进行限购额度调整，证券公司须根据本所最新标准，结合公司限购额度计算方法，对客户限购额度进行统一调整。调整后证券公司应及时向客户公布调整信息。</w:t>
      </w:r>
    </w:p>
    <w:p w14:paraId="2219499D">
      <w:pPr>
        <w:widowControl/>
        <w:jc w:val="left"/>
        <w:rPr>
          <w:rFonts w:ascii="Times New Roman" w:hAnsi="Times New Roman" w:eastAsia="仿宋_GB2312"/>
          <w:sz w:val="28"/>
          <w:szCs w:val="28"/>
        </w:rPr>
      </w:pPr>
      <w:r>
        <w:rPr>
          <w:rFonts w:ascii="Times New Roman" w:hAnsi="Times New Roman" w:eastAsia="仿宋_GB2312"/>
          <w:sz w:val="28"/>
          <w:szCs w:val="28"/>
        </w:rPr>
        <w:br w:type="page"/>
      </w:r>
    </w:p>
    <w:p w14:paraId="62AAC040">
      <w:pPr>
        <w:pStyle w:val="4"/>
        <w:jc w:val="center"/>
        <w:rPr>
          <w:rFonts w:hint="default" w:ascii="Times New Roman" w:hAnsi="Times New Roman" w:eastAsia="黑体"/>
          <w:kern w:val="2"/>
          <w:sz w:val="32"/>
          <w:szCs w:val="32"/>
        </w:rPr>
      </w:pPr>
      <w:bookmarkStart w:id="239" w:name="_Toc23947152"/>
      <w:bookmarkStart w:id="240" w:name="保证金管理"/>
      <w:bookmarkStart w:id="241" w:name="_Toc14061"/>
      <w:bookmarkStart w:id="242" w:name="_Toc22412"/>
      <w:bookmarkStart w:id="243" w:name="_Toc215740296"/>
      <w:bookmarkStart w:id="244" w:name="_Toc12179"/>
      <w:bookmarkStart w:id="245" w:name="_Toc452017018"/>
      <w:r>
        <w:rPr>
          <w:rFonts w:hint="default" w:ascii="Times New Roman" w:hAnsi="Times New Roman" w:eastAsia="黑体"/>
          <w:kern w:val="2"/>
          <w:sz w:val="32"/>
          <w:szCs w:val="32"/>
        </w:rPr>
        <w:t>第六章 保证金管理</w:t>
      </w:r>
      <w:bookmarkEnd w:id="239"/>
      <w:bookmarkEnd w:id="240"/>
      <w:bookmarkEnd w:id="241"/>
      <w:bookmarkEnd w:id="242"/>
      <w:bookmarkEnd w:id="243"/>
      <w:bookmarkEnd w:id="244"/>
      <w:bookmarkEnd w:id="245"/>
    </w:p>
    <w:p w14:paraId="004ADBA9">
      <w:pPr>
        <w:spacing w:before="0" w:beforeLines="-2147483648" w:after="0" w:afterLines="-2147483648"/>
        <w:ind w:firstLine="560" w:firstLineChars="200"/>
        <w:outlineLvl w:val="1"/>
        <w:rPr>
          <w:rFonts w:ascii="Times New Roman" w:hAnsi="Times New Roman" w:eastAsia="黑体"/>
          <w:b w:val="0"/>
          <w:sz w:val="28"/>
          <w:szCs w:val="28"/>
        </w:rPr>
      </w:pPr>
      <w:bookmarkStart w:id="246" w:name="_Toc215740297"/>
      <w:bookmarkStart w:id="247" w:name="_Toc12844"/>
      <w:bookmarkStart w:id="248" w:name="_Toc408665037"/>
      <w:bookmarkStart w:id="249" w:name="_Toc452017019"/>
      <w:bookmarkStart w:id="250" w:name="_Toc618"/>
      <w:bookmarkStart w:id="251" w:name="_Toc23947153"/>
      <w:bookmarkStart w:id="252" w:name="_Toc27643"/>
      <w:r>
        <w:rPr>
          <w:rFonts w:hint="default" w:ascii="Times New Roman" w:hAnsi="Times New Roman" w:eastAsia="黑体"/>
          <w:b w:val="0"/>
          <w:sz w:val="28"/>
          <w:szCs w:val="28"/>
        </w:rPr>
        <w:t>一、</w:t>
      </w:r>
      <w:bookmarkStart w:id="253" w:name="客户保证金管理"/>
      <w:r>
        <w:rPr>
          <w:rFonts w:hint="default" w:ascii="Times New Roman" w:hAnsi="Times New Roman" w:eastAsia="黑体"/>
          <w:b w:val="0"/>
          <w:sz w:val="28"/>
          <w:szCs w:val="28"/>
        </w:rPr>
        <w:t>客户保证金管理</w:t>
      </w:r>
      <w:bookmarkEnd w:id="246"/>
      <w:bookmarkEnd w:id="247"/>
      <w:bookmarkEnd w:id="248"/>
      <w:bookmarkEnd w:id="249"/>
      <w:bookmarkEnd w:id="250"/>
      <w:bookmarkEnd w:id="251"/>
      <w:bookmarkEnd w:id="252"/>
      <w:bookmarkEnd w:id="253"/>
    </w:p>
    <w:p w14:paraId="142B990D">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（一）保证金水平</w:t>
      </w:r>
    </w:p>
    <w:p w14:paraId="3D08BCB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证券公司可按线性、非线性、组合策略或其他可有效控制保证金水平的方式向单个客户收取保证金，可针对不同客户设定不同的保证金水平</w:t>
      </w:r>
      <w:r>
        <w:rPr>
          <w:rFonts w:ascii="Times New Roman" w:hAnsi="Times New Roman" w:eastAsia="仿宋_GB2312"/>
          <w:sz w:val="28"/>
          <w:szCs w:val="28"/>
        </w:rPr>
        <w:t>，</w:t>
      </w:r>
      <w:r>
        <w:rPr>
          <w:rFonts w:hint="default" w:ascii="Times New Roman" w:hAnsi="Times New Roman" w:eastAsia="仿宋_GB2312"/>
          <w:sz w:val="28"/>
          <w:szCs w:val="28"/>
        </w:rPr>
        <w:t>但不低于</w:t>
      </w:r>
      <w:r>
        <w:rPr>
          <w:rFonts w:hint="default" w:ascii="Times New Roman" w:hAnsi="Times New Roman" w:eastAsia="仿宋_GB2312" w:cs="Times New Roman"/>
          <w:sz w:val="28"/>
          <w:szCs w:val="28"/>
        </w:rPr>
        <w:t>《风控办法》</w:t>
      </w:r>
      <w:r>
        <w:rPr>
          <w:rFonts w:hint="default" w:ascii="Times New Roman" w:hAnsi="Times New Roman" w:eastAsia="仿宋_GB2312"/>
          <w:sz w:val="28"/>
          <w:szCs w:val="28"/>
        </w:rPr>
        <w:t>要求的水平，即所司保证金标准。证券公司对于客户认沽期权卖出开仓时所收取的保证金最高不应超过行权价与合约单位的乘积。</w:t>
      </w:r>
    </w:p>
    <w:p w14:paraId="32A631F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收取方法举例一：</w:t>
      </w:r>
    </w:p>
    <w:p w14:paraId="5A31B79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保证金线性收取方式：在所司保证金标准的基础上整体设置收取比例。假如证券公司设置了20%的上浮比例，那么每张ETF认购期权维持保证金={结算价+Max（12%×合约标的收盘价-认购期权虚值，7%×标的收盘价）}</w:t>
      </w:r>
      <w:r>
        <w:rPr>
          <w:rFonts w:ascii="Times New Roman" w:hAnsi="Times New Roman" w:eastAsia="仿宋_GB2312"/>
          <w:sz w:val="28"/>
          <w:szCs w:val="28"/>
        </w:rPr>
        <w:t>×</w:t>
      </w:r>
      <w:r>
        <w:rPr>
          <w:rFonts w:hint="default" w:ascii="Times New Roman" w:hAnsi="Times New Roman" w:eastAsia="仿宋_GB2312"/>
          <w:sz w:val="28"/>
          <w:szCs w:val="28"/>
        </w:rPr>
        <w:t>合约单位</w:t>
      </w:r>
      <w:r>
        <w:rPr>
          <w:rFonts w:ascii="Times New Roman" w:hAnsi="Times New Roman" w:eastAsia="仿宋_GB2312"/>
          <w:sz w:val="28"/>
          <w:szCs w:val="28"/>
        </w:rPr>
        <w:t>×</w:t>
      </w:r>
      <w:r>
        <w:rPr>
          <w:rFonts w:hint="default" w:ascii="Times New Roman" w:hAnsi="Times New Roman" w:eastAsia="仿宋_GB2312"/>
          <w:sz w:val="28"/>
          <w:szCs w:val="28"/>
        </w:rPr>
        <w:t>1.2。</w:t>
      </w:r>
    </w:p>
    <w:p w14:paraId="7BF2986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收取方法举例二：</w:t>
      </w:r>
    </w:p>
    <w:p w14:paraId="44D2A98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保证金非线性收取方式：调整《风控办法》保证金收取公式里的个别或所有参数。假如证券公司将按合约标的收盘价的12%调整为15%，那么每张ETF认购期权维持保证金={结算价+Max（15%×合约标的收盘价-认购期权虚值，7%×标的收盘价）}</w:t>
      </w:r>
      <w:r>
        <w:rPr>
          <w:rFonts w:ascii="Times New Roman" w:hAnsi="Times New Roman" w:eastAsia="仿宋_GB2312"/>
          <w:sz w:val="28"/>
          <w:szCs w:val="28"/>
        </w:rPr>
        <w:t>×</w:t>
      </w:r>
      <w:r>
        <w:rPr>
          <w:rFonts w:hint="default" w:ascii="Times New Roman" w:hAnsi="Times New Roman" w:eastAsia="仿宋_GB2312"/>
          <w:sz w:val="28"/>
          <w:szCs w:val="28"/>
        </w:rPr>
        <w:t>合约单位。</w:t>
      </w:r>
    </w:p>
    <w:p w14:paraId="32FE205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收取方法举例三：</w:t>
      </w:r>
    </w:p>
    <w:p w14:paraId="638AC0B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组合策略收取方式：按照组合策略收取保证金的，证券公司为客户减免收取的保证金金额不高于交易所减免收取的金额。</w:t>
      </w:r>
    </w:p>
    <w:p w14:paraId="217F3EF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证券公司可按其与客户在经纪业务合同中的约定，在临近组合策略自动解除日，提前按照解除组合后应收保证金水平收取维持保证金或提前解除组合。</w:t>
      </w:r>
    </w:p>
    <w:p w14:paraId="694AA7E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证券公司按线性、非线性、组合策略或其他可有效控制确定的保证金水平时，在参数设置或调整时需要重点考虑以下几点因素：</w:t>
      </w:r>
    </w:p>
    <w:p w14:paraId="4A449F1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1.可结合义务仓合约虚值或实值程度设置不同参数，使得深度虚值、轻度虚值、轻度实值和深度实值等不同状态的合约所收保证金的参数配置不一致；</w:t>
      </w:r>
    </w:p>
    <w:p w14:paraId="6CC0A66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2.临近行权日的参数调整；</w:t>
      </w:r>
    </w:p>
    <w:p w14:paraId="7C48BDB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3.临近较长节假日的参数调整；</w:t>
      </w:r>
    </w:p>
    <w:p w14:paraId="08B9AA1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4.市场出现异常情况时的参数调整</w:t>
      </w:r>
      <w:r>
        <w:rPr>
          <w:rFonts w:ascii="Times New Roman" w:hAnsi="Times New Roman" w:eastAsia="仿宋_GB2312"/>
          <w:sz w:val="28"/>
          <w:szCs w:val="28"/>
        </w:rPr>
        <w:t>；</w:t>
      </w:r>
    </w:p>
    <w:p w14:paraId="61C550B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5.针对不同客户设定差异化参数；</w:t>
      </w:r>
    </w:p>
    <w:p w14:paraId="5290534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6.根据风险压力测试或相关风险评估结果及时进行调整等。</w:t>
      </w:r>
    </w:p>
    <w:p w14:paraId="592F31F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虚值程度公式如下：</w:t>
      </w:r>
    </w:p>
    <w:p w14:paraId="5CF192C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认购期权虚值程度=（认购期权合约行权价-标的证券收盘价）/标的证券收盘价</w:t>
      </w:r>
    </w:p>
    <w:p w14:paraId="5E89345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认沽期权虚值程度=（标的证券收盘价-认沽期权合约行权价）/标的证券收盘价</w:t>
      </w:r>
    </w:p>
    <w:p w14:paraId="4FB74B9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盘中监控取标的证券前收盘价，盘后监控取标的证券当日收盘价。上述计算结果为负值时，该期权为实值期权，实值程度为该计算结果的绝对值。</w:t>
      </w:r>
    </w:p>
    <w:p w14:paraId="479EB29C">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虚值程度和实值程度的参数配置可以由证券公司自行定义。如对ETF期权，轻度虚值可设置为：认购或认沽期权虚值程度4%-8%，深度虚值可设置为：认购或认沽期权虚值程度</w:t>
      </w:r>
      <w:r>
        <w:rPr>
          <w:rFonts w:ascii="Times New Roman" w:hAnsi="Times New Roman" w:eastAsia="仿宋_GB2312"/>
          <w:sz w:val="28"/>
          <w:szCs w:val="28"/>
        </w:rPr>
        <w:t>≥</w:t>
      </w:r>
      <w:r>
        <w:rPr>
          <w:rFonts w:hint="default" w:ascii="Times New Roman" w:hAnsi="Times New Roman" w:eastAsia="仿宋_GB2312"/>
          <w:sz w:val="28"/>
          <w:szCs w:val="28"/>
        </w:rPr>
        <w:t>8%。亦可用其他方法定义虚值程度和实值程度。</w:t>
      </w:r>
    </w:p>
    <w:p w14:paraId="3A5BFE8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证券公司应在投资者签署开户协议时，向客户明确可能导致保证金参数水平调整的情形。若证券公司调整保证金水平参数设置，应当通过邮件、短信、交易客户端等渠道做好通知提醒工作。</w:t>
      </w:r>
    </w:p>
    <w:p w14:paraId="02157A1A">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（二）保证金收取</w:t>
      </w:r>
    </w:p>
    <w:p w14:paraId="1720FC7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1.盘中开仓保证金收取</w:t>
      </w:r>
    </w:p>
    <w:p w14:paraId="4E9C766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对同一期权合约，投资者可在交易时段（9</w:t>
      </w:r>
      <w:r>
        <w:rPr>
          <w:rFonts w:hint="eastAsia" w:ascii="Times New Roman" w:hAnsi="Times New Roman" w:eastAsia="仿宋_GB2312"/>
          <w:sz w:val="28"/>
          <w:szCs w:val="28"/>
        </w:rPr>
        <w:t>:</w:t>
      </w:r>
      <w:r>
        <w:rPr>
          <w:rFonts w:hint="default" w:ascii="Times New Roman" w:hAnsi="Times New Roman" w:eastAsia="仿宋_GB2312"/>
          <w:sz w:val="28"/>
          <w:szCs w:val="28"/>
        </w:rPr>
        <w:t>15-15</w:t>
      </w:r>
      <w:r>
        <w:rPr>
          <w:rFonts w:hint="eastAsia" w:ascii="Times New Roman" w:hAnsi="Times New Roman" w:eastAsia="仿宋_GB2312"/>
          <w:sz w:val="28"/>
          <w:szCs w:val="28"/>
        </w:rPr>
        <w:t>:</w:t>
      </w:r>
      <w:r>
        <w:rPr>
          <w:rFonts w:hint="default" w:ascii="Times New Roman" w:hAnsi="Times New Roman" w:eastAsia="仿宋_GB2312"/>
          <w:sz w:val="28"/>
          <w:szCs w:val="28"/>
        </w:rPr>
        <w:t>00）双向持仓（可同时持有权利仓与义务仓），</w:t>
      </w:r>
      <w:r>
        <w:rPr>
          <w:rFonts w:hint="default" w:ascii="Times New Roman" w:hAnsi="Times New Roman" w:eastAsia="仿宋_GB2312" w:cs="Times New Roman"/>
          <w:sz w:val="28"/>
          <w:szCs w:val="28"/>
        </w:rPr>
        <w:t>本所</w:t>
      </w:r>
      <w:r>
        <w:rPr>
          <w:rFonts w:hint="default" w:ascii="Times New Roman" w:hAnsi="Times New Roman" w:eastAsia="仿宋_GB2312"/>
          <w:sz w:val="28"/>
          <w:szCs w:val="28"/>
        </w:rPr>
        <w:t>对卖出认购或者认沽期权时按开仓保证金水平计减结算参与人保证金日间余额，证券公司对客户卖出认购或者认沽期权时按开仓保证金水平扣减客户</w:t>
      </w:r>
      <w:r>
        <w:rPr>
          <w:rFonts w:hint="default" w:ascii="Times New Roman" w:hAnsi="Times New Roman" w:eastAsia="仿宋_GB2312" w:cs="Times New Roman"/>
          <w:sz w:val="28"/>
          <w:szCs w:val="28"/>
        </w:rPr>
        <w:t>保证金可用余额</w:t>
      </w:r>
      <w:r>
        <w:rPr>
          <w:rFonts w:hint="default" w:ascii="Times New Roman" w:hAnsi="Times New Roman" w:eastAsia="仿宋_GB2312"/>
          <w:sz w:val="28"/>
          <w:szCs w:val="28"/>
        </w:rPr>
        <w:t>，不能因可构建组合策略或日终时可与权利仓对冲而免收或少收。</w:t>
      </w:r>
    </w:p>
    <w:p w14:paraId="2341433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构建组合策略的，本所对构建组合策略申报确认后，实时增加相应结算参与人保证金日间余额，证券公司实时增加客户保证金可用余额。</w:t>
      </w:r>
    </w:p>
    <w:p w14:paraId="51F06D3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2.盘后维持保证金收取</w:t>
      </w:r>
    </w:p>
    <w:p w14:paraId="265DCFF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日终时由</w:t>
      </w:r>
      <w:r>
        <w:rPr>
          <w:rFonts w:hint="default" w:ascii="Times New Roman" w:hAnsi="Times New Roman" w:eastAsia="仿宋_GB2312" w:cs="Times New Roman"/>
          <w:sz w:val="28"/>
          <w:szCs w:val="28"/>
        </w:rPr>
        <w:t>本所</w:t>
      </w:r>
      <w:r>
        <w:rPr>
          <w:rFonts w:hint="default" w:ascii="Times New Roman" w:hAnsi="Times New Roman" w:eastAsia="仿宋_GB2312"/>
          <w:sz w:val="28"/>
          <w:szCs w:val="28"/>
        </w:rPr>
        <w:t>和中国结算对同一账户同一合约双向持仓</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动进行对冲（取净头寸，优先对冲非备兑义务仓），调整为单向持仓。中国结算按对冲后的单向持仓及组合策略持仓进行结算参与人维持保证金计收，证券公司按对冲后的单向持仓及组合策略持仓进行客户维持保证金计收。</w:t>
      </w:r>
    </w:p>
    <w:p w14:paraId="40D82C6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3.临近组合策略自动解除日保证金收取</w:t>
      </w:r>
    </w:p>
    <w:p w14:paraId="069C119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构建组合策略的，证券公司可按其与客户在经纪业务合同中的约定，在临近组合策略自动解除日，提前按照解除组合后应收保证金水平，收取维持保证金。</w:t>
      </w:r>
    </w:p>
    <w:p w14:paraId="49BEC74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4.到期被指派合约保证金收取</w:t>
      </w:r>
    </w:p>
    <w:p w14:paraId="673491F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结算参与人层面，行权日日终，中国结算对于</w:t>
      </w:r>
      <w:r>
        <w:rPr>
          <w:rFonts w:ascii="Times New Roman" w:hAnsi="Times New Roman" w:eastAsia="仿宋_GB2312"/>
          <w:sz w:val="28"/>
          <w:szCs w:val="28"/>
        </w:rPr>
        <w:t>股票</w:t>
      </w:r>
      <w:r>
        <w:rPr>
          <w:rFonts w:hint="default" w:ascii="Times New Roman" w:hAnsi="Times New Roman" w:eastAsia="仿宋_GB2312"/>
          <w:sz w:val="28"/>
          <w:szCs w:val="28"/>
        </w:rPr>
        <w:t>期权合约被指派的义务方按当日结算价格重新计收维持保证金，未被指派的合约不再收取维持保证金。交收日日终，中国结算按“结算参与人股票期权保证金账户内的结算准备金余额/（行权交收资金-被行权合约对应的维持保证金）”的比例释放被行权合约维持保证金用于交收。</w:t>
      </w:r>
    </w:p>
    <w:p w14:paraId="3E27256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证券公司客户层面，行权日日终，对单个客户，如客户是净应收券或应收资金，证券公司不冻结资金；如客户是净应付券，证券公司可以根据与客户在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期权经纪合同中的约定，冻结相应合约标的，不足部分可以采取冻结股票期权保证金账户部分资金方式（如合约标的收盘价</w:t>
      </w:r>
      <w:r>
        <w:rPr>
          <w:rFonts w:ascii="Times New Roman" w:hAnsi="Times New Roman" w:eastAsia="仿宋_GB2312"/>
          <w:sz w:val="28"/>
          <w:szCs w:val="28"/>
        </w:rPr>
        <w:t>×</w:t>
      </w:r>
      <w:r>
        <w:rPr>
          <w:rFonts w:hint="default" w:ascii="Times New Roman" w:hAnsi="Times New Roman" w:eastAsia="仿宋_GB2312"/>
          <w:sz w:val="28"/>
          <w:szCs w:val="28"/>
        </w:rPr>
        <w:t>10%或能覆盖假设客户违约时现金结算的资金）；如客户是应付资金，证券公司可以根据与客户在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期权经纪合同中的约定，冻结相应资金。</w:t>
      </w:r>
    </w:p>
    <w:p w14:paraId="52EFD89F">
      <w:pPr>
        <w:spacing w:before="0" w:beforeLines="-2147483648" w:after="0" w:afterLines="-2147483648"/>
        <w:ind w:left="0" w:leftChars="0" w:firstLine="560" w:firstLineChars="200"/>
        <w:rPr>
          <w:rFonts w:ascii="Times New Roman" w:hAnsi="Times New Roman" w:eastAsia="仿宋_GB2312"/>
          <w:sz w:val="28"/>
          <w:szCs w:val="28"/>
        </w:rPr>
      </w:pPr>
      <w:r>
        <w:rPr>
          <w:rFonts w:hint="default" w:ascii="Times New Roman" w:hAnsi="Times New Roman" w:eastAsia="仿宋_GB2312"/>
          <w:sz w:val="28"/>
          <w:szCs w:val="28"/>
        </w:rPr>
        <w:t>5.除权除息日保证金收取</w:t>
      </w:r>
    </w:p>
    <w:p w14:paraId="160D713B">
      <w:pPr>
        <w:spacing w:before="0" w:beforeLines="-2147483648" w:after="0" w:afterLines="-2147483648"/>
        <w:ind w:left="0" w:leftChars="0"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本所依据合约调整后的合约单位计增或计减证券公司的可用保证金额度。而上一交易日日终，中国结算向结算会员按合约调整前的合约单位收取维持保证金。因此，对原有义务仓持仓平仓，释放的保证金金额会与上一交易日日终计算的维持保证金不一致，存在一些误差（由合约单位取整引起，但单张合约金额误差不大）。</w:t>
      </w:r>
    </w:p>
    <w:p w14:paraId="19BFD807">
      <w:pPr>
        <w:spacing w:before="0" w:beforeLines="-2147483648" w:after="0" w:afterLines="-2147483648"/>
        <w:ind w:left="0" w:leftChars="0"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如果出现上述不一致，证券公司应加强对保证金的管理。同时，如果证券公司对客户保证金方式亦存在此问题，当日应及时向客户提醒或解释，并加强对客户保证金管理（可用资金或出金会有误差）。</w:t>
      </w:r>
    </w:p>
    <w:p w14:paraId="3C80A8C7">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（三）保证金监控</w:t>
      </w:r>
    </w:p>
    <w:p w14:paraId="0060DAF6">
      <w:pPr>
        <w:widowControl/>
        <w:adjustRightInd/>
        <w:snapToGrid/>
        <w:spacing w:beforeLines="0" w:afterLines="0" w:line="240" w:lineRule="auto"/>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1.实时盯市（盘中试算）</w:t>
      </w:r>
    </w:p>
    <w:p w14:paraId="1CAF4C20">
      <w:pPr>
        <w:widowControl/>
        <w:adjustRightInd/>
        <w:snapToGrid/>
        <w:spacing w:beforeLines="0" w:afterLines="0" w:line="240" w:lineRule="auto"/>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区别于上述开仓保证金和维持保证金，证券公司在客户保证金监控时，需增加对合约标的或</w:t>
      </w:r>
      <w:r>
        <w:rPr>
          <w:rFonts w:ascii="Times New Roman" w:hAnsi="Times New Roman" w:eastAsia="仿宋_GB2312"/>
          <w:sz w:val="28"/>
          <w:szCs w:val="28"/>
        </w:rPr>
        <w:t>股票</w:t>
      </w:r>
      <w:r>
        <w:rPr>
          <w:rFonts w:hint="eastAsia" w:ascii="Times New Roman" w:hAnsi="Times New Roman" w:eastAsia="仿宋_GB2312"/>
          <w:sz w:val="28"/>
          <w:szCs w:val="28"/>
        </w:rPr>
        <w:t>期权合约交易价格变动带来的保证金变化的监控。</w:t>
      </w:r>
    </w:p>
    <w:p w14:paraId="45DA28C6">
      <w:pPr>
        <w:widowControl/>
        <w:adjustRightInd/>
        <w:snapToGrid/>
        <w:spacing w:beforeLines="0" w:afterLines="0" w:line="240" w:lineRule="auto"/>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根据最新价格实时计算的客户持有某</w:t>
      </w:r>
      <w:r>
        <w:rPr>
          <w:rFonts w:ascii="Times New Roman" w:hAnsi="Times New Roman" w:eastAsia="仿宋_GB2312"/>
          <w:sz w:val="28"/>
          <w:szCs w:val="28"/>
        </w:rPr>
        <w:t>股票</w:t>
      </w:r>
      <w:r>
        <w:rPr>
          <w:rFonts w:hint="eastAsia" w:ascii="Times New Roman" w:hAnsi="Times New Roman" w:eastAsia="仿宋_GB2312"/>
          <w:sz w:val="28"/>
          <w:szCs w:val="28"/>
        </w:rPr>
        <w:t>期权合约的实时价格保证金是指，客户持有该同一</w:t>
      </w:r>
      <w:r>
        <w:rPr>
          <w:rFonts w:ascii="Times New Roman" w:hAnsi="Times New Roman" w:eastAsia="仿宋_GB2312"/>
          <w:sz w:val="28"/>
          <w:szCs w:val="28"/>
        </w:rPr>
        <w:t>股票</w:t>
      </w:r>
      <w:r>
        <w:rPr>
          <w:rFonts w:hint="eastAsia" w:ascii="Times New Roman" w:hAnsi="Times New Roman" w:eastAsia="仿宋_GB2312"/>
          <w:sz w:val="28"/>
          <w:szCs w:val="28"/>
        </w:rPr>
        <w:t>期权合约义务仓和权利仓对冲后剩余义务仓，按合约标的最新成交价格和</w:t>
      </w:r>
      <w:r>
        <w:rPr>
          <w:rFonts w:ascii="Times New Roman" w:hAnsi="Times New Roman" w:eastAsia="仿宋_GB2312"/>
          <w:sz w:val="28"/>
          <w:szCs w:val="28"/>
        </w:rPr>
        <w:t>股票</w:t>
      </w:r>
      <w:r>
        <w:rPr>
          <w:rFonts w:hint="eastAsia" w:ascii="Times New Roman" w:hAnsi="Times New Roman" w:eastAsia="仿宋_GB2312"/>
          <w:sz w:val="28"/>
          <w:szCs w:val="28"/>
        </w:rPr>
        <w:t>期权合约最新成交价（如当日无成交，则取前结算价），根据证券公司设置的保证金水平计算的保证金。按照组合策略收取保证金的，若计算组合保证金的公式中包含</w:t>
      </w:r>
      <w:r>
        <w:rPr>
          <w:rFonts w:ascii="Times New Roman" w:hAnsi="Times New Roman" w:eastAsia="仿宋_GB2312"/>
          <w:sz w:val="28"/>
          <w:szCs w:val="28"/>
        </w:rPr>
        <w:t>股票</w:t>
      </w:r>
      <w:r>
        <w:rPr>
          <w:rFonts w:hint="eastAsia" w:ascii="Times New Roman" w:hAnsi="Times New Roman" w:eastAsia="仿宋_GB2312"/>
          <w:sz w:val="28"/>
          <w:szCs w:val="28"/>
        </w:rPr>
        <w:t>期权合约或标的价格，也需要按照最新成交价进行计算。计算实时价格保证金时，组合策略持仓不参与同一</w:t>
      </w:r>
      <w:r>
        <w:rPr>
          <w:rFonts w:ascii="Times New Roman" w:hAnsi="Times New Roman" w:eastAsia="仿宋_GB2312"/>
          <w:sz w:val="28"/>
          <w:szCs w:val="28"/>
        </w:rPr>
        <w:t>股票</w:t>
      </w:r>
      <w:r>
        <w:rPr>
          <w:rFonts w:hint="eastAsia" w:ascii="Times New Roman" w:hAnsi="Times New Roman" w:eastAsia="仿宋_GB2312"/>
          <w:sz w:val="28"/>
          <w:szCs w:val="28"/>
        </w:rPr>
        <w:t>期权合约义务仓和权利仓的对冲。</w:t>
      </w:r>
    </w:p>
    <w:p w14:paraId="25747E01">
      <w:pPr>
        <w:widowControl/>
        <w:adjustRightInd/>
        <w:snapToGrid/>
        <w:spacing w:beforeLines="0" w:afterLines="0" w:line="240" w:lineRule="auto"/>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证券公司应按最新价格计算各客户持有各合约所需保证金金额，监控其是否足额及变化情况。</w:t>
      </w:r>
    </w:p>
    <w:p w14:paraId="1B6FD34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2.盘中平仓和追保的实时监控</w:t>
      </w:r>
    </w:p>
    <w:p w14:paraId="2EB58E4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（1）客户实时风险值</w:t>
      </w:r>
    </w:p>
    <w:p w14:paraId="3C32529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证券公司应监控客户实时价格保证金占其保证金总额的情况，建议设立监控指标：</w:t>
      </w:r>
    </w:p>
    <w:p w14:paraId="0F48934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客户实时风险值1=按照公司保证金水平计算的客户实时价格保证金/该客户保证金总额（扣除行权待交收等冻结的资金后）。</w:t>
      </w:r>
    </w:p>
    <w:p w14:paraId="47FDF38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客户实时风险值2=按照所司保证金水平计算的客户实时价格保证金/该客户保证金总额（扣除行权待交收等冻结的资金后）。</w:t>
      </w:r>
    </w:p>
    <w:p w14:paraId="501DFA2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比如针对客户保证金收取按所司保证金标准整体上浮20%的证券公司，盘中客户ETF认购期权按照公司保证金水平计算的实时价格保证金={合约最近成交价+Max（12%×合约标的最新价-认购期权虚值，7%×合约标的最新价）}×合约单位×1.2。</w:t>
      </w:r>
    </w:p>
    <w:p w14:paraId="71D944F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客户保证金总额为客户股票期权保证金账户用于衍生品交易的保证金总额，根据出入金、成交进行实时增减。</w:t>
      </w:r>
    </w:p>
    <w:p w14:paraId="740A70D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行权待交收冻结的资金为行权日或交收日，客户因行权或被指派应付券或应付款而被冻结的资金。</w:t>
      </w:r>
    </w:p>
    <w:p w14:paraId="08CB3FB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若客户实时风险值1和客户实时风险值2的分母出现负数，指标均为100%（证券公司可以自行设置其他数值）；如分母为0，当客户实时价格保证金&gt;0时，指标为100%，当客户实时价格保证金=0时，指标为0。客户实时风险值1和客户实时风险值2的分母“该客户保证金总额（扣除行权待交收冻结的资金后）”包括了申报未成交冻结的资金。</w:t>
      </w:r>
    </w:p>
    <w:p w14:paraId="6A5C578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亦可增设监控指标，例如增设客户实时风险值3=按照公司保证金水平计算的客户实时价格保证金/[该客户保证金总额（扣除行权待交收冻结的资金后）-申报未成交冻结的资金]。当客户实时风险值3达到证券公司设置的</w:t>
      </w:r>
      <w:r>
        <w:rPr>
          <w:rFonts w:ascii="Times New Roman" w:hAnsi="Times New Roman" w:eastAsia="仿宋_GB2312"/>
          <w:sz w:val="28"/>
          <w:szCs w:val="28"/>
        </w:rPr>
        <w:t>阈值</w:t>
      </w:r>
      <w:r>
        <w:rPr>
          <w:rFonts w:hint="default" w:ascii="Times New Roman" w:hAnsi="Times New Roman" w:eastAsia="仿宋_GB2312"/>
          <w:sz w:val="28"/>
          <w:szCs w:val="28"/>
        </w:rPr>
        <w:t>时，证券公司可以及时提醒客户撤单或追加保证金。</w:t>
      </w:r>
    </w:p>
    <w:p w14:paraId="2580189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证券公司亦可按（客户实时价格保证金+行权待交收冻结的资金）/该客户保证金总额设计客户实时风险值，监控</w:t>
      </w:r>
      <w:r>
        <w:rPr>
          <w:rFonts w:ascii="Times New Roman" w:hAnsi="Times New Roman" w:eastAsia="仿宋_GB2312"/>
          <w:sz w:val="28"/>
          <w:szCs w:val="28"/>
        </w:rPr>
        <w:t>阈值</w:t>
      </w:r>
      <w:r>
        <w:rPr>
          <w:rFonts w:hint="default" w:ascii="Times New Roman" w:hAnsi="Times New Roman" w:eastAsia="仿宋_GB2312"/>
          <w:sz w:val="28"/>
          <w:szCs w:val="28"/>
        </w:rPr>
        <w:t>自行定义。</w:t>
      </w:r>
    </w:p>
    <w:p w14:paraId="152A427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（2）三条监控线</w:t>
      </w:r>
    </w:p>
    <w:p w14:paraId="4A39104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建议证券公司与客户在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期权经纪合同中约定，对客户实时风险值设置公司盘中追保线、公司盘中平仓线、即时处置线。其中：</w:t>
      </w:r>
    </w:p>
    <w:p w14:paraId="7D1FD08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盘中追保线：监控客户实时风险值1，盘中追保线低于公司盘中平仓线（具体值证券公司自定）。比如盘中追保线为90%，当盘中客户实时风险值1高于盘中追保线时，证券公司可以向客户发追保通知，并同时可以限制该客户新开仓。</w:t>
      </w:r>
    </w:p>
    <w:p w14:paraId="4B47CE4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盘中平仓线：客户实时风险值1达到100%时，触发公司盘中平仓线。当盘中客户实时风险值1高于公司盘中平仓线时，证券公司应及时通知客户（如上一交易日日终维持保证金已不足，并已发出强行平仓通知书，可不再通知），证券公司可在当日或者下一交易日规定时间对客户进行强行平仓。</w:t>
      </w:r>
    </w:p>
    <w:p w14:paraId="0945641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即时处置线：客户实时风险值2达到100%时，触发即时处置线。当盘中客户实时风险值2高于即时处置线时，证券公司可以选择实时对客户进行强行平仓，直至客户实时风险值1处于公司盘中平仓线或追保线以下（具体由</w:t>
      </w:r>
      <w:r>
        <w:rPr>
          <w:rFonts w:hint="default" w:ascii="Times New Roman" w:hAnsi="Times New Roman" w:eastAsia="仿宋_GB2312"/>
          <w:color w:val="auto"/>
          <w:sz w:val="28"/>
          <w:szCs w:val="28"/>
        </w:rPr>
        <w:t>证券公司</w:t>
      </w:r>
      <w:r>
        <w:rPr>
          <w:rFonts w:hint="default" w:ascii="Times New Roman" w:hAnsi="Times New Roman" w:eastAsia="仿宋_GB2312"/>
          <w:sz w:val="28"/>
          <w:szCs w:val="28"/>
        </w:rPr>
        <w:t>与客户约定为准）。不做即时平仓的证券公司，可以在与客户约定的时间（如14:30）统一发起当天客户的强行平仓或选择不强行平仓，但应做好相应的资金管理安排，提前准备好自有资金，履行日终对中国结算的结算义务。</w:t>
      </w:r>
    </w:p>
    <w:p w14:paraId="1FF636D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对于持有组合策略的情况，证券公司可按其与客户在经纪业务合同中的约定，在组合策略自动解除前，根据客户实时风险值进行追保和处置。</w:t>
      </w:r>
    </w:p>
    <w:p w14:paraId="61B2AB7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3.提取现金的计算</w:t>
      </w:r>
    </w:p>
    <w:p w14:paraId="69B1BA4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（1）客户占用未对冲保证金</w:t>
      </w:r>
    </w:p>
    <w:p w14:paraId="0EF5B6C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占用未对冲开仓保证金：按照开仓保证金公式并按公司设定的收取水平计算的，以合约标的前收盘价和合约前结算价计算且为客户已成交和已申报开仓未成交的ETF期权义务仓合约（对双向持仓不进行对冲）所占用的保证金。</w:t>
      </w:r>
    </w:p>
    <w:p w14:paraId="67820C1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占用未对冲实时价格保证金：按照开仓保证金公式并按公司设定的收取水平计算的，以合约标的最新价和合约最新价计算且为客户已成交和已申报开仓未成交的ETF期权义务仓合约（对双向持仓不进行对冲）所占用的保证金。</w:t>
      </w:r>
    </w:p>
    <w:p w14:paraId="603027D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（2）客户可取现值</w:t>
      </w:r>
    </w:p>
    <w:p w14:paraId="6F8390B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证券公司应根据自身风险管理与资金管理情况，在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与客户约定客户取现的计算方法，计算方法及结果需要明确告知客户，可参考以下原则：当日权利金净收入不可提取、当日平仓释放资金保证金可提取等（具体以与客户约定为准）。计算方法举例如下：</w:t>
      </w:r>
    </w:p>
    <w:p w14:paraId="5E7478C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可取资金=上一日日终结算后资金保证金总额（或当日期初资金保证金总额）+当日入金-当日出金-手续费+当日权利金收入-当日权利金支出-[max（客户占用未对冲实时价格保证金，客户占用未对冲开仓保证金）/提取线]-max</w:t>
      </w:r>
      <w:r>
        <w:rPr>
          <w:rFonts w:ascii="Times New Roman" w:hAnsi="Times New Roman" w:eastAsia="仿宋_GB2312"/>
          <w:sz w:val="28"/>
          <w:szCs w:val="28"/>
        </w:rPr>
        <w:t>（</w:t>
      </w:r>
      <w:r>
        <w:rPr>
          <w:rFonts w:hint="default" w:ascii="Times New Roman" w:hAnsi="Times New Roman" w:eastAsia="仿宋_GB2312"/>
          <w:sz w:val="28"/>
          <w:szCs w:val="28"/>
        </w:rPr>
        <w:t>当日权利金收入-当日权利金支出，0）-行权待交收冻结资金-其他相关冻结资金。</w:t>
      </w:r>
    </w:p>
    <w:p w14:paraId="34545D1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提取线：设定一个比例（即提取线，不高于盘中追保线，由证券公司自行设定），客户未对冲实时价格保证金加行权待交收冻结资金及其他相关冻结资金占其保证金总额高于或等于该比例时，不可提取现金；低于该比例时且符合其他约定条件时，可提取现金。现金提取后，客户未对冲实时价格保证金加行权待交收冻结资金及其他相关冻结资金占其保证金总额不得高于该比例。</w:t>
      </w:r>
    </w:p>
    <w:p w14:paraId="77CD201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证券公司也可以不设置提取线，客户可取现值可以按扣除最大占用保证金及相关冻结资金后的可用余额计算，但应考虑避免当日日终出现维持保证金不足的情况。</w:t>
      </w:r>
    </w:p>
    <w:p w14:paraId="653EF969">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（四）逐日盯市</w:t>
      </w:r>
    </w:p>
    <w:p w14:paraId="746D499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1.客户维持保证金监控</w:t>
      </w:r>
    </w:p>
    <w:p w14:paraId="6279E6A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客户维持保证金1：按照公司保证金水平计算的维持保证金（持仓日终自动对冲后收取的保证金）。</w:t>
      </w:r>
    </w:p>
    <w:p w14:paraId="134BAAB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比如针对客户保证金收取按</w:t>
      </w:r>
      <w:r>
        <w:rPr>
          <w:rFonts w:hint="default" w:ascii="Times New Roman" w:hAnsi="Times New Roman" w:eastAsia="仿宋_GB2312" w:cs="Times New Roman"/>
          <w:sz w:val="28"/>
          <w:szCs w:val="28"/>
        </w:rPr>
        <w:t>本所</w:t>
      </w:r>
      <w:r>
        <w:rPr>
          <w:rFonts w:hint="default" w:ascii="Times New Roman" w:hAnsi="Times New Roman" w:eastAsia="仿宋_GB2312"/>
          <w:sz w:val="28"/>
          <w:szCs w:val="28"/>
        </w:rPr>
        <w:t>标准整体上浮20%的证券公司，收盘后客户ETF认购期权维持保证金1={结算价+Max（12%×合约标的收盘价-认购期权虚值，7%×合约标的收盘价）}×合约单位×1.2。</w:t>
      </w:r>
    </w:p>
    <w:p w14:paraId="00F5C6D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客户维持保证金2：按照所司保证金标准计算的维持保证金（（持仓日终自动对冲后收取的保证金））。</w:t>
      </w:r>
    </w:p>
    <w:p w14:paraId="2C08359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收盘后客户ETF认购期权维持保证金2={结算价+Max（12%×合约标的收盘价-认购期权虚值，7%×合约标的收盘价）}×合约单位。</w:t>
      </w:r>
    </w:p>
    <w:p w14:paraId="0B98A71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2.客户维持保证金比例1与客户维持保证金比例2</w:t>
      </w:r>
    </w:p>
    <w:p w14:paraId="05DF629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证券公司应在日终对客户保证金进行逐日盯市，建议设立监控指标：</w:t>
      </w:r>
    </w:p>
    <w:p w14:paraId="7BCC713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客户维持保证金比例1=客户维持保证金1/该客户保证金总额（扣除行权待交收冻结的资金后）。</w:t>
      </w:r>
    </w:p>
    <w:p w14:paraId="7CE1F05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客户维持保证金比例2=客户维持保证金2/该客户保证金总额（扣除行权待交收冻结的资金后）。</w:t>
      </w:r>
    </w:p>
    <w:p w14:paraId="7817E97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3.三条监控线</w:t>
      </w:r>
    </w:p>
    <w:p w14:paraId="79412D6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建议证券公司与客户在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期权经纪合同中约定，针对客户维持保证金比例1和客户维持保证金比例2设置公司盘后平仓线、公司盘后追保线和交易所平仓线。其中：</w:t>
      </w:r>
    </w:p>
    <w:p w14:paraId="1A3AC05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盘后平仓线：客户维持保证金比例1为100%。当盘后客户维持保证金比例1高于公司盘后平仓线时，公司应及时向客户发送强行平仓通知，并通知客户在下一交易日规定时间（比如14:30）以前补足保证金或自行平仓；若客户未在规定时间内补足保证金或自行平仓，证券公司应在下一交易日规定时间（比如14：30）开始对客户实施强行平仓。并告知，如下一交易日盘中进一步达到即时处置线时，证券公司可以选择实时对客户进行强行平仓。</w:t>
      </w:r>
    </w:p>
    <w:p w14:paraId="01E6F17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公司盘后追保线：监控客户维持保证金比例1，盘后追保线低于公司盘后平仓线（具体值证券公司自定）。比如盘后追保线为90%，当客户维持保证金比例1高于盘后追保线时，证券公司应及时向客户发追保通知，并同时可以限制该客户新开仓。</w:t>
      </w:r>
    </w:p>
    <w:p w14:paraId="2F8A9AC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交易所平仓线：客户维持保证金比例2为100%。当盘后客户维持保证金比例2高于交易所平仓线时，公司应及时向客户发送强行平仓通知，并在下一交易日开盘后尽快对客户实施强行平仓。当日日终，需要证券公司用自有资金补足，确保日终客户维持保证金不低于按《风控办法》规定的保证金水平，不得挪用其他客户保证金。</w:t>
      </w:r>
    </w:p>
    <w:p w14:paraId="376330E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对于持有组合策略的情况，证券公司可按其与客户在经纪业务合同中的约定，在组合策略自动解除前，根据客户维持保证金比例进行追保或强平通知。</w:t>
      </w:r>
    </w:p>
    <w:p w14:paraId="2EAF032B">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（五）其他</w:t>
      </w:r>
    </w:p>
    <w:p w14:paraId="4518D5F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1.保证金通知邮箱</w:t>
      </w:r>
    </w:p>
    <w:p w14:paraId="22AEB76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证券公司可向与客户约定的客户专门邮箱或其融资融券业务邮箱，发送追保、强平等各类通知，并存档留痕。证券公司可在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期权经纪合同中列明并告知客户。</w:t>
      </w:r>
    </w:p>
    <w:p w14:paraId="2123816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2.压力测试</w:t>
      </w:r>
    </w:p>
    <w:p w14:paraId="570A93F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证券公司应对客户保证金进行压力测试，包括对客户保证金进行特定品种、特定价格、特定情景的压力测试等。</w:t>
      </w:r>
    </w:p>
    <w:p w14:paraId="0C82986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盘中应重视对一定程度虚值期权合约及临近自动解除日组合策略的实时监控。当合约标的价格发生较大变化、所持合约虚值程度发生较大变化或从虚值转为平值、组合策略临近自动解除日时，证券公司应对该情况下客户保证金变化进行压力测试或进行评估，以应对客户保证金大量不足的情形。</w:t>
      </w:r>
    </w:p>
    <w:p w14:paraId="094E82F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证券公司可建立保证金分级管理与收取办法。一方面，证券公司可根据投资者信用情况、业务权限和交易级别等收取不同程度保证金；另一方面，证券公司对于自身风险管理能力较强、信誉良好的客户，在充分了解客户，并由客户签署调整保证金申请表和承诺书的情况下，可执行特殊保证金标准，但不低于</w:t>
      </w:r>
      <w:r>
        <w:rPr>
          <w:rFonts w:hint="default" w:ascii="Times New Roman" w:hAnsi="Times New Roman" w:eastAsia="仿宋_GB2312" w:cs="Times New Roman"/>
          <w:sz w:val="28"/>
          <w:szCs w:val="28"/>
        </w:rPr>
        <w:t>《风控办法》规定的保证金</w:t>
      </w:r>
      <w:r>
        <w:rPr>
          <w:rFonts w:hint="default" w:ascii="Times New Roman" w:hAnsi="Times New Roman" w:eastAsia="仿宋_GB2312"/>
          <w:sz w:val="28"/>
          <w:szCs w:val="28"/>
        </w:rPr>
        <w:t>收取标准。</w:t>
      </w:r>
    </w:p>
    <w:p w14:paraId="34FB1804">
      <w:pPr>
        <w:spacing w:before="0" w:after="0"/>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4.临近行权日（包括行权日），为了防范客户在交收日出现交收违约风险，证券公司可以提高客户当月合约开仓保证金和维持保证金的收取比例。</w:t>
      </w:r>
    </w:p>
    <w:p w14:paraId="1E981445">
      <w:pPr>
        <w:spacing w:before="0" w:beforeLines="-2147483648" w:after="0" w:afterLines="-2147483648"/>
        <w:ind w:firstLine="560" w:firstLineChars="200"/>
        <w:outlineLvl w:val="1"/>
        <w:rPr>
          <w:rFonts w:ascii="Times New Roman" w:hAnsi="Times New Roman" w:eastAsia="黑体"/>
          <w:b w:val="0"/>
          <w:sz w:val="28"/>
          <w:szCs w:val="28"/>
        </w:rPr>
      </w:pPr>
      <w:bookmarkStart w:id="254" w:name="_Toc215740298"/>
      <w:bookmarkStart w:id="255" w:name="_Toc23077"/>
      <w:bookmarkStart w:id="256" w:name="_Toc408665038"/>
      <w:bookmarkStart w:id="257" w:name="_Toc31439"/>
      <w:bookmarkStart w:id="258" w:name="_Toc452017020"/>
      <w:bookmarkStart w:id="259" w:name="二、备兑开仓客户保证金管理"/>
      <w:bookmarkStart w:id="260" w:name="_Toc23947154"/>
      <w:bookmarkStart w:id="261" w:name="_Toc27937"/>
      <w:r>
        <w:rPr>
          <w:rFonts w:hint="default" w:ascii="Times New Roman" w:hAnsi="Times New Roman" w:eastAsia="黑体"/>
          <w:b w:val="0"/>
          <w:sz w:val="28"/>
          <w:szCs w:val="28"/>
        </w:rPr>
        <w:t>二、备兑开仓客户保证金管理</w:t>
      </w:r>
      <w:bookmarkEnd w:id="254"/>
      <w:bookmarkEnd w:id="255"/>
      <w:bookmarkEnd w:id="256"/>
      <w:bookmarkEnd w:id="257"/>
      <w:bookmarkEnd w:id="258"/>
      <w:bookmarkEnd w:id="259"/>
      <w:bookmarkEnd w:id="260"/>
      <w:bookmarkEnd w:id="261"/>
    </w:p>
    <w:p w14:paraId="730374C0">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（一）对因除权除息引起客户备兑证券不足的监控</w:t>
      </w:r>
    </w:p>
    <w:p w14:paraId="4B8ED59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1.事前通知</w:t>
      </w:r>
    </w:p>
    <w:p w14:paraId="39E4085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除权除息日前一日，证券公司应提醒客户合约标的将进行除权除息，将按调整后合约单位重新锁定备兑备用证券。收盘后，针对备兑开仓客户，证券公司应再及时通知并提醒客户。</w:t>
      </w:r>
    </w:p>
    <w:p w14:paraId="585043C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对于没有涉及分红的权益变更，证券公司可以提早对客户进行通知提醒，包括合约单位和行权价格变更信息等。</w:t>
      </w:r>
    </w:p>
    <w:p w14:paraId="2983B3B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2.盘中监控</w:t>
      </w:r>
    </w:p>
    <w:p w14:paraId="7F1F806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除权除息日，证券公司应在规定时间（比如上午一次、下午一次等）对备兑开仓客户的备兑备用证券数量进行监控，监控指标为盘中客户备兑备用证券不足数量。证券公司可以与客户在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约定，当客户盘中备兑备用证券不足时，证券公司可以冻结该客户证券账户中未锁定的合约标的；如客户证券账户中无合约标的，证券公司应及时通知客户补足并锁定合约标的为备兑备用证券或自行平仓。</w:t>
      </w:r>
    </w:p>
    <w:p w14:paraId="585AC1F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盘中客户备兑备用证券不足数量=开仓所需合约标的数量（按新合约单位）-已锁定的备兑备用证券数量-证券公司冻结的当日新增证券数量（买入等）。</w:t>
      </w:r>
    </w:p>
    <w:p w14:paraId="1ED5BA5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盘中客户备兑备用证券存在不足数量时，不得进行备兑新开仓，不允许进行备兑解锁。可备兑解锁的数量不超过按（已锁定的备兑备用证券数量-按新合约单位计算的所有备兑持仓所需的备兑备用证券）计算的数量。</w:t>
      </w:r>
    </w:p>
    <w:p w14:paraId="7C4EB20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3.盘后监控</w:t>
      </w:r>
    </w:p>
    <w:p w14:paraId="74564C4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证券公司应对客户备兑证券进行监控。收盘后，证券公司依据中国结算发送的“强行平仓通知书”，应及时向客户发送强平通知，并通知客户在下一交易日规定时间点（比如10:00）以前补足备兑备用证券或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自行平仓。下一交易日，若客户未在规定时间补足备兑备用证券或自行平仓，证券公司应在规定时间（比如10:00）开始对客户实施强行平仓，并确保在11:30之前不存在备兑证券不足情况。</w:t>
      </w:r>
    </w:p>
    <w:p w14:paraId="006F70CF">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（二）其他情况引起客户备兑证券不足的监控</w:t>
      </w:r>
    </w:p>
    <w:p w14:paraId="44C69EE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交收日日终，证券公司应监控是否因行权交收等导致备兑证券不足而收到中国结算的“强行平仓通知书”。</w:t>
      </w:r>
    </w:p>
    <w:p w14:paraId="4E155F0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交收日日终，客户应付券不足时，中国结算将使用备兑证券用于交收，从而导致该客户备兑证券不足。在收到中国结算的“强行平仓通知书”后，应及时通知并提醒客户在下一交易日规定时间点（比如10:00）以前补足备兑备用证券或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自行平仓。下一交易日，若客户未在规定时间补足备兑备用证券或自行平仓，证券公司应在规定时间（比如10:00）开始对客户实施强行平仓，并确保在11:30之前不存在备兑证券不足情况。</w:t>
      </w:r>
    </w:p>
    <w:p w14:paraId="6CC32EBC">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（三）盘中代为锁定</w:t>
      </w:r>
    </w:p>
    <w:p w14:paraId="2FB0B0D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证券公司可以与客户在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期权经纪合同中约定，客户备兑证券不足时，证券公司可盘中冻结或锁定其证券账户里的相应数量的合约标的，避免客户发生备兑不足而导致被强平的风险。</w:t>
      </w:r>
    </w:p>
    <w:p w14:paraId="38025DA3">
      <w:pPr>
        <w:widowControl/>
        <w:jc w:val="left"/>
        <w:rPr>
          <w:rFonts w:ascii="Times New Roman" w:hAnsi="Times New Roman" w:eastAsia="仿宋_GB2312"/>
          <w:sz w:val="28"/>
          <w:szCs w:val="28"/>
        </w:rPr>
      </w:pPr>
      <w:r>
        <w:rPr>
          <w:rFonts w:ascii="Times New Roman" w:hAnsi="Times New Roman" w:eastAsia="仿宋_GB2312"/>
          <w:sz w:val="28"/>
          <w:szCs w:val="28"/>
        </w:rPr>
        <w:br w:type="page"/>
      </w:r>
    </w:p>
    <w:p w14:paraId="20B6E765">
      <w:pPr>
        <w:spacing w:before="156" w:beforeLines="50" w:after="156" w:afterLines="50"/>
        <w:jc w:val="center"/>
        <w:outlineLvl w:val="0"/>
        <w:rPr>
          <w:rFonts w:ascii="Times New Roman" w:hAnsi="Times New Roman" w:eastAsia="仿宋_GB2312"/>
          <w:b/>
          <w:bCs/>
          <w:sz w:val="28"/>
          <w:szCs w:val="28"/>
        </w:rPr>
      </w:pPr>
      <w:bookmarkStart w:id="262" w:name="_Toc215740299"/>
      <w:bookmarkStart w:id="263" w:name="第七章资金风险管理"/>
      <w:bookmarkStart w:id="264" w:name="_Toc22551"/>
      <w:bookmarkStart w:id="265" w:name="_Toc408665039"/>
      <w:bookmarkStart w:id="266" w:name="_Toc452017021"/>
      <w:bookmarkStart w:id="267" w:name="_Toc245"/>
      <w:bookmarkStart w:id="268" w:name="_Toc19608"/>
      <w:bookmarkStart w:id="269" w:name="_Toc23947155"/>
      <w:r>
        <w:rPr>
          <w:rFonts w:hint="default" w:ascii="Times New Roman" w:hAnsi="Times New Roman" w:eastAsia="黑体"/>
          <w:b/>
          <w:bCs/>
          <w:sz w:val="32"/>
          <w:szCs w:val="32"/>
        </w:rPr>
        <w:t>第七章 资金风险管理</w:t>
      </w:r>
      <w:bookmarkEnd w:id="262"/>
      <w:bookmarkEnd w:id="263"/>
      <w:bookmarkEnd w:id="264"/>
      <w:bookmarkEnd w:id="265"/>
      <w:bookmarkEnd w:id="266"/>
      <w:bookmarkEnd w:id="267"/>
      <w:bookmarkEnd w:id="268"/>
      <w:bookmarkEnd w:id="269"/>
    </w:p>
    <w:p w14:paraId="5C5119F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为防止证券公司</w:t>
      </w:r>
      <w:r>
        <w:rPr>
          <w:rFonts w:ascii="Times New Roman" w:hAnsi="Times New Roman" w:eastAsia="仿宋_GB2312"/>
          <w:sz w:val="28"/>
          <w:szCs w:val="28"/>
        </w:rPr>
        <w:t>股票</w:t>
      </w:r>
      <w:r>
        <w:rPr>
          <w:rFonts w:hint="default" w:ascii="Times New Roman" w:hAnsi="Times New Roman" w:eastAsia="仿宋_GB2312"/>
          <w:sz w:val="28"/>
          <w:szCs w:val="28"/>
        </w:rPr>
        <w:t>期权业务客户资金管理出现流动性风险，证券公司应对客户衍生品结算资金汇总账户和客户股票期权保证金账户的资金划拨进行盯市管理，并应在客户股票期权保证金账户中存入足额的结算准备金。</w:t>
      </w:r>
    </w:p>
    <w:p w14:paraId="0D9A695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目前，中国结算暂不提供实时出金服务（未来提供服务时间待定）。</w:t>
      </w:r>
    </w:p>
    <w:p w14:paraId="6EF6FE86">
      <w:pPr>
        <w:spacing w:before="0" w:beforeLines="-2147483648" w:after="0" w:afterLines="-2147483648"/>
        <w:ind w:firstLine="560" w:firstLineChars="200"/>
        <w:outlineLvl w:val="1"/>
        <w:rPr>
          <w:rFonts w:ascii="Times New Roman" w:hAnsi="Times New Roman" w:eastAsia="黑体"/>
          <w:b w:val="0"/>
          <w:sz w:val="28"/>
          <w:szCs w:val="28"/>
        </w:rPr>
      </w:pPr>
      <w:bookmarkStart w:id="270" w:name="_Toc408665040"/>
      <w:bookmarkStart w:id="271" w:name="_Toc452017022"/>
      <w:bookmarkStart w:id="272" w:name="_Toc4237"/>
      <w:bookmarkStart w:id="273" w:name="_Toc6281"/>
      <w:bookmarkStart w:id="274" w:name="_Toc215740300"/>
      <w:bookmarkStart w:id="275" w:name="_Toc20376"/>
      <w:bookmarkStart w:id="276" w:name="_Toc23947156"/>
      <w:bookmarkStart w:id="277" w:name="一、资金盯市管理"/>
      <w:r>
        <w:rPr>
          <w:rFonts w:hint="default" w:ascii="Times New Roman" w:hAnsi="Times New Roman" w:eastAsia="黑体"/>
          <w:b w:val="0"/>
          <w:sz w:val="28"/>
          <w:szCs w:val="28"/>
        </w:rPr>
        <w:t>一、资金盯市管理</w:t>
      </w:r>
      <w:bookmarkEnd w:id="270"/>
      <w:bookmarkEnd w:id="271"/>
      <w:bookmarkEnd w:id="272"/>
      <w:bookmarkEnd w:id="273"/>
      <w:bookmarkEnd w:id="274"/>
      <w:bookmarkEnd w:id="275"/>
      <w:bookmarkEnd w:id="276"/>
      <w:bookmarkEnd w:id="277"/>
    </w:p>
    <w:p w14:paraId="3E5FFC6D">
      <w:pPr>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（一）资金盯市管理要求</w:t>
      </w:r>
    </w:p>
    <w:p w14:paraId="2A7DA69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以保证客户的正常交易及公司的正常交收为首要目标、兼顾客户银衍转账的出金需求，证券公司应合理判断客户衍生品结算资金汇总账户与客户股票期权保证金账户之间的资金配置比例。</w:t>
      </w:r>
    </w:p>
    <w:p w14:paraId="12650158">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证券公司应及时掌握公司银行存款余额变化情况，做好银衍转账客户出入金的实时监控。</w:t>
      </w:r>
    </w:p>
    <w:p w14:paraId="4CB7C71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证券公司应根据</w:t>
      </w:r>
      <w:r>
        <w:rPr>
          <w:rFonts w:ascii="Times New Roman" w:hAnsi="Times New Roman" w:eastAsia="仿宋_GB2312"/>
          <w:sz w:val="28"/>
          <w:szCs w:val="28"/>
        </w:rPr>
        <w:t>股票</w:t>
      </w:r>
      <w:r>
        <w:rPr>
          <w:rFonts w:hint="default" w:ascii="Times New Roman" w:hAnsi="Times New Roman" w:eastAsia="仿宋_GB2312"/>
          <w:sz w:val="28"/>
          <w:szCs w:val="28"/>
        </w:rPr>
        <w:t>期权合约各义务方客户持仓情况和客户入金情况等，及时调度资金头寸，满足客户盘中正常开仓、公司盘后正常交收的要求。</w:t>
      </w:r>
    </w:p>
    <w:p w14:paraId="3797EEED">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（二）盘中保证金占用比例实时监控</w:t>
      </w:r>
    </w:p>
    <w:p w14:paraId="110DAE2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1.监控指标</w:t>
      </w:r>
    </w:p>
    <w:p w14:paraId="069EC66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证券公司应在盘中对保证金占用比例进行实时监控。</w:t>
      </w:r>
    </w:p>
    <w:p w14:paraId="2124FA6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保证金占用比例=经纪业务已占用保证金/客户股票期权保证金账户总额</w:t>
      </w:r>
    </w:p>
    <w:p w14:paraId="7801DFB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经纪业务已占用保证金：指根据《风控办法》规定的保证金标准，按照单个客户账户双向头寸未对冲及组合策略持仓的数据，计算的所有客户占用的保证金总和，包括已成交的和已申报未成交的义务仓期权合约占用的保证金之和。</w:t>
      </w:r>
    </w:p>
    <w:p w14:paraId="6546707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客户股票期权保证金账户总额：是证券公司存放在中国结算的，实时地用于其所有客户股票期权保证金管理的账户总金额。</w:t>
      </w:r>
    </w:p>
    <w:p w14:paraId="69E02C8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客户衍生品结算资金汇总账户总额：是证券公司在具有衍生品结算资格的银行开立的，用于存放客户衍生品交易资金。</w:t>
      </w:r>
    </w:p>
    <w:p w14:paraId="78423D64">
      <w:pPr>
        <w:spacing w:before="0" w:beforeLines="-2147483648" w:after="0" w:afterLines="-2147483648"/>
        <w:ind w:firstLine="560" w:firstLineChars="200"/>
        <w:rPr>
          <w:rFonts w:hint="default" w:ascii="Times New Roman" w:hAnsi="Times New Roman" w:eastAsia="仿宋_GB2312" w:cs="Times New Roman"/>
          <w:kern w:val="2"/>
          <w:sz w:val="28"/>
          <w:szCs w:val="28"/>
        </w:rPr>
      </w:pPr>
      <w:r>
        <w:rPr>
          <w:rFonts w:hint="default" w:ascii="Times New Roman" w:hAnsi="Times New Roman" w:eastAsia="仿宋_GB2312"/>
          <w:sz w:val="28"/>
          <w:szCs w:val="28"/>
        </w:rPr>
        <w:t>证券公司资金管理的主要目的是根据经纪业务已占用保证金的动态变化，将客户衍生品结算资金汇总账户的部分金额划拨至中国结算指定的客户股票期权保证金账户，从而实现：一方面证券公司的所有客户的实际开仓规模的最大值与其存放的保证金总额一致；另一方面满足客户盘中出金需求，减少客户资金的盘中占用。</w:t>
      </w:r>
    </w:p>
    <w:p w14:paraId="694976D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2.资金警戒线和划拨线</w:t>
      </w:r>
    </w:p>
    <w:p w14:paraId="337537C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证券公司可依据保证金占用比例分别设置资金警戒线、资金划拨线。</w:t>
      </w:r>
    </w:p>
    <w:p w14:paraId="32EA065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（1）资金划拨线：当保证金占用比例等于一定比例（证券公司自定）时，比如当保证金占用比例为80%时，达到资金划拨线。</w:t>
      </w:r>
    </w:p>
    <w:p w14:paraId="71CCC8D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盘中证券公司经纪业务保证金占用比例高于资金划拨线时，证券公司相关业务人员应及时向存管结算相关部门提出入金需求，将资金从客户衍生品结算资金汇总账户划转至客户股票期权保证金账户，注明“客户资金”和“股票期权保证金账户号”，跟踪资金到账情况。</w:t>
      </w:r>
    </w:p>
    <w:p w14:paraId="2BC74C9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（2）资金警戒线：当保证金占用比例低于资金划拨线时，比如当保证金占用比例为60%时，达到资金警戒线。</w:t>
      </w:r>
    </w:p>
    <w:p w14:paraId="025C729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当盘中证券公司经纪业务保证金占用比例高于资金警戒线时，证券公司相关业务人员应及时向资金调拨人员预约划款，资金调拨人员随时做好调拨资金的准备。</w:t>
      </w:r>
    </w:p>
    <w:p w14:paraId="29B7096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3.证券公司应根据公司</w:t>
      </w:r>
      <w:r>
        <w:rPr>
          <w:rFonts w:ascii="Times New Roman" w:hAnsi="Times New Roman" w:eastAsia="仿宋_GB2312"/>
          <w:sz w:val="28"/>
          <w:szCs w:val="28"/>
        </w:rPr>
        <w:t>股票</w:t>
      </w:r>
      <w:r>
        <w:rPr>
          <w:rFonts w:hint="default" w:ascii="Times New Roman" w:hAnsi="Times New Roman" w:eastAsia="仿宋_GB2312"/>
          <w:sz w:val="28"/>
          <w:szCs w:val="28"/>
        </w:rPr>
        <w:t>期权业务规模、历史盘后交收金额与峰值、当天</w:t>
      </w:r>
      <w:r>
        <w:rPr>
          <w:rFonts w:ascii="Times New Roman" w:hAnsi="Times New Roman" w:eastAsia="仿宋_GB2312"/>
          <w:sz w:val="28"/>
          <w:szCs w:val="28"/>
        </w:rPr>
        <w:t>股票</w:t>
      </w:r>
      <w:r>
        <w:rPr>
          <w:rFonts w:hint="default" w:ascii="Times New Roman" w:hAnsi="Times New Roman" w:eastAsia="仿宋_GB2312"/>
          <w:sz w:val="28"/>
          <w:szCs w:val="28"/>
        </w:rPr>
        <w:t>期权交易规模、客户活跃度、经纪业务占用保证金增速、客户入金情况等，设定每日资金警戒线、资金划拨线，并视情况每日进行动态调整。</w:t>
      </w:r>
    </w:p>
    <w:p w14:paraId="7D97A450">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（三）盘后资金维持比例逐日盯市</w:t>
      </w:r>
    </w:p>
    <w:p w14:paraId="68034F4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收盘后，证券公司应对盘后资金维持比例进行盯市管理。</w:t>
      </w:r>
    </w:p>
    <w:p w14:paraId="550FBF5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盘后资金维持比例=（经纪业务维持保证金+行权净应付资金）/客户股票期权保证金账户余额</w:t>
      </w:r>
    </w:p>
    <w:p w14:paraId="06D2237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经纪业务维持保证金：根据《风控办法》规定的保证金标准，按照单个客户持仓自动对冲后及组合策略持仓计算的，所有账户的维持保证金总额。</w:t>
      </w:r>
    </w:p>
    <w:p w14:paraId="012E087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行权净应付资金：交收日，客户行权或被指派应付资金与应收资金累加，包括客户证券交收违约按现金结算资金，如为净应收，则行权净应付资金为0。</w:t>
      </w:r>
    </w:p>
    <w:p w14:paraId="5FF0668F">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收盘后，为保证公司正常交收，证券公司应保证盘后资金维持比例不高于一定比例（比如90%）。基于客户在收盘后出金的可能性较大，证券公司需保留足够的资金满足客户出金需求。</w:t>
      </w:r>
    </w:p>
    <w:p w14:paraId="470BAFE3">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（四）可用资金余额头寸监控</w:t>
      </w:r>
    </w:p>
    <w:p w14:paraId="1294053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证券公司应分别在开盘前、盘中和盘后，通过本所交易系统查询公司在中国结算开立的客户股票期权保证金账户的可用余额，进行头寸监控：</w:t>
      </w:r>
    </w:p>
    <w:p w14:paraId="709B8F6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1.盘中要保证客户股票期权保证金账户可用余额能满足客户的开仓需求；</w:t>
      </w:r>
    </w:p>
    <w:p w14:paraId="36D9ADA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2.开盘前和收盘后，要保证客户股票期权保证金账户可用余额高于最低结算准备余额（目前暂为200万）。开盘前，若结算准备金余额大于零而低于结算准备金最低余额，</w:t>
      </w:r>
      <w:r>
        <w:rPr>
          <w:rFonts w:hint="default" w:ascii="Times New Roman" w:hAnsi="Times New Roman" w:eastAsia="仿宋_GB2312" w:cs="Times New Roman"/>
          <w:sz w:val="28"/>
          <w:szCs w:val="28"/>
        </w:rPr>
        <w:t>本所</w:t>
      </w:r>
      <w:r>
        <w:rPr>
          <w:rFonts w:hint="default" w:ascii="Times New Roman" w:hAnsi="Times New Roman" w:eastAsia="仿宋_GB2312"/>
          <w:sz w:val="28"/>
          <w:szCs w:val="28"/>
        </w:rPr>
        <w:t>前端控制将禁止客户新开仓（买入或卖出开仓禁止，允许备兑开仓）。</w:t>
      </w:r>
    </w:p>
    <w:p w14:paraId="43D266C5">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sz w:val="28"/>
          <w:szCs w:val="28"/>
        </w:rPr>
        <w:t>（五）客户出金要求</w:t>
      </w:r>
    </w:p>
    <w:p w14:paraId="6ABF0A3E">
      <w:pPr>
        <w:spacing w:before="0" w:after="0"/>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证券公司根据与客户在经纪合同中的约定，设置提取线计算客户可提现资金，允许客户进行提现。对大额资金提取，可以要求先预约。</w:t>
      </w:r>
    </w:p>
    <w:p w14:paraId="05C81D9D">
      <w:pPr>
        <w:numPr>
          <w:ilvl w:val="0"/>
          <w:numId w:val="0"/>
        </w:numPr>
        <w:spacing w:before="0" w:after="0"/>
        <w:ind w:firstLine="560" w:firstLineChars="200"/>
        <w:rPr>
          <w:rFonts w:ascii="Times New Roman" w:hAnsi="Times New Roman" w:eastAsia="楷体_GB2312"/>
          <w:sz w:val="28"/>
          <w:szCs w:val="28"/>
        </w:rPr>
      </w:pPr>
      <w:r>
        <w:rPr>
          <w:rFonts w:hint="eastAsia" w:ascii="Times New Roman" w:hAnsi="Times New Roman" w:eastAsia="楷体_GB2312"/>
          <w:sz w:val="28"/>
          <w:szCs w:val="28"/>
        </w:rPr>
        <w:t>（六）</w:t>
      </w:r>
      <w:r>
        <w:rPr>
          <w:rFonts w:hint="default" w:ascii="Times New Roman" w:hAnsi="Times New Roman" w:eastAsia="楷体_GB2312"/>
          <w:sz w:val="28"/>
          <w:szCs w:val="28"/>
        </w:rPr>
        <w:t>卖出平仓注意事项</w:t>
      </w:r>
    </w:p>
    <w:p w14:paraId="46DCD2B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cs="Times New Roman"/>
          <w:sz w:val="28"/>
          <w:szCs w:val="28"/>
        </w:rPr>
        <w:t>对投资者卖出平仓应注意交易成本的计算。若出现卖出平仓所得无法覆盖交易成本的情况，应在客户端进行提醒。若客户执意平仓，方可接受委托。如预算成交后客户资产出现透支状态，证券公司可拒绝该笔委托。</w:t>
      </w:r>
    </w:p>
    <w:p w14:paraId="7B352EE6">
      <w:pPr>
        <w:spacing w:before="0" w:beforeLines="-2147483648" w:after="0" w:afterLines="-2147483648"/>
        <w:ind w:firstLine="560" w:firstLineChars="200"/>
        <w:outlineLvl w:val="1"/>
        <w:rPr>
          <w:rFonts w:ascii="Times New Roman" w:hAnsi="Times New Roman" w:eastAsia="黑体"/>
          <w:b w:val="0"/>
          <w:sz w:val="28"/>
          <w:szCs w:val="28"/>
        </w:rPr>
      </w:pPr>
      <w:bookmarkStart w:id="278" w:name="二、资金划拨应急处理"/>
      <w:bookmarkStart w:id="279" w:name="_Toc23947157"/>
      <w:bookmarkStart w:id="280" w:name="_Toc2884"/>
      <w:bookmarkStart w:id="281" w:name="_Toc215740301"/>
      <w:bookmarkStart w:id="282" w:name="_Toc29950"/>
      <w:bookmarkStart w:id="283" w:name="_Toc452017023"/>
      <w:bookmarkStart w:id="284" w:name="_Toc17406"/>
      <w:bookmarkStart w:id="285" w:name="_Toc408665041"/>
      <w:r>
        <w:rPr>
          <w:rFonts w:hint="default" w:ascii="Times New Roman" w:hAnsi="Times New Roman" w:eastAsia="黑体"/>
          <w:b w:val="0"/>
          <w:sz w:val="28"/>
          <w:szCs w:val="28"/>
        </w:rPr>
        <w:t>二、资金划拨应急处理</w:t>
      </w:r>
      <w:bookmarkEnd w:id="278"/>
      <w:bookmarkEnd w:id="279"/>
      <w:bookmarkEnd w:id="280"/>
      <w:bookmarkEnd w:id="281"/>
      <w:bookmarkEnd w:id="282"/>
      <w:bookmarkEnd w:id="283"/>
      <w:bookmarkEnd w:id="284"/>
      <w:bookmarkEnd w:id="285"/>
    </w:p>
    <w:p w14:paraId="3B0AC34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证券公司应建立客户资金存取、划拨、应对信息系统故障等异常和突发情况的应急预案，具体要求包括但不限于：</w:t>
      </w:r>
    </w:p>
    <w:p w14:paraId="4F0B21CA">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证券公司应与各结算银行商谈并签订客户资金应急划款协议或备忘录，建立客户资金存取和交收的应急备用划款方式，明确因技术故障等影响客户资金存取及交收时，相关各方之间的备用操作流程和沟通协调机制，保证客户资金存取和交收的正常有序进行。</w:t>
      </w:r>
    </w:p>
    <w:p w14:paraId="0911FE1F">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证券公司应建立多家银行账户划拨备用机制，一旦一家银行账户结算出现问题或延迟，立即启用其他银行账户划拨资金。</w:t>
      </w:r>
    </w:p>
    <w:p w14:paraId="325C928D">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证券公司应通过和银行建立多种替代方式的资金划拨路径，一旦结算出现异常，可以立即通过其他替代划拨方式完成资金划拨。和银行建立良好的结算关系，由银行指定专人负责跟踪每笔划拨资金。</w:t>
      </w:r>
    </w:p>
    <w:p w14:paraId="2A195593">
      <w:pPr>
        <w:spacing w:before="0" w:beforeLines="-2147483648" w:after="0" w:afterLines="-2147483648"/>
        <w:ind w:firstLine="560" w:firstLineChars="200"/>
        <w:rPr>
          <w:rFonts w:ascii="Times New Roman" w:hAnsi="Times New Roman" w:eastAsia="仿宋_GB2312"/>
          <w:b w:val="0"/>
          <w:bCs w:val="0"/>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证券公司应当与结算银行建立日终数据交换和差异处理机制，保证客户下一交易日的正常交易和资金存取。</w:t>
      </w:r>
    </w:p>
    <w:p w14:paraId="0FD9AD81">
      <w:pPr>
        <w:widowControl/>
        <w:jc w:val="left"/>
        <w:rPr>
          <w:rFonts w:ascii="Times New Roman" w:hAnsi="Times New Roman" w:eastAsia="仿宋_GB2312"/>
          <w:b/>
          <w:bCs/>
          <w:sz w:val="28"/>
          <w:szCs w:val="28"/>
        </w:rPr>
      </w:pPr>
      <w:r>
        <w:rPr>
          <w:rFonts w:ascii="Times New Roman" w:hAnsi="Times New Roman" w:eastAsia="仿宋_GB2312"/>
          <w:b/>
          <w:bCs/>
          <w:sz w:val="28"/>
          <w:szCs w:val="28"/>
        </w:rPr>
        <w:br w:type="page"/>
      </w:r>
    </w:p>
    <w:p w14:paraId="6BFE66F9">
      <w:pPr>
        <w:spacing w:before="156" w:beforeLines="50" w:after="156" w:afterLines="50"/>
        <w:jc w:val="center"/>
        <w:outlineLvl w:val="0"/>
        <w:rPr>
          <w:rFonts w:hint="default" w:ascii="Times New Roman" w:hAnsi="Times New Roman" w:eastAsia="黑体"/>
          <w:b/>
          <w:bCs/>
          <w:sz w:val="32"/>
          <w:szCs w:val="32"/>
        </w:rPr>
      </w:pPr>
      <w:bookmarkStart w:id="286" w:name="_Toc215740302"/>
      <w:bookmarkStart w:id="287" w:name="_Toc2376"/>
      <w:bookmarkStart w:id="288" w:name="_Toc28847"/>
      <w:bookmarkStart w:id="289" w:name="_Toc8209"/>
      <w:bookmarkStart w:id="290" w:name="_Toc452017024"/>
      <w:bookmarkStart w:id="291" w:name="_Toc23947158"/>
      <w:bookmarkStart w:id="292" w:name="_Toc408665042"/>
      <w:bookmarkStart w:id="293" w:name="第八章强行平仓管理"/>
      <w:r>
        <w:rPr>
          <w:rFonts w:hint="default" w:ascii="Times New Roman" w:hAnsi="Times New Roman" w:eastAsia="黑体"/>
          <w:b/>
          <w:bCs/>
          <w:sz w:val="32"/>
          <w:szCs w:val="32"/>
        </w:rPr>
        <w:t>第八章 强行平仓管理</w:t>
      </w:r>
      <w:bookmarkEnd w:id="286"/>
      <w:bookmarkEnd w:id="287"/>
      <w:bookmarkEnd w:id="288"/>
      <w:bookmarkEnd w:id="289"/>
      <w:bookmarkEnd w:id="290"/>
      <w:bookmarkEnd w:id="291"/>
      <w:bookmarkEnd w:id="292"/>
      <w:bookmarkEnd w:id="293"/>
    </w:p>
    <w:p w14:paraId="5B36E8A5">
      <w:pPr>
        <w:spacing w:before="0" w:beforeLines="-2147483648" w:after="0" w:afterLines="-2147483648"/>
        <w:ind w:firstLine="560" w:firstLineChars="200"/>
        <w:outlineLvl w:val="1"/>
        <w:rPr>
          <w:rFonts w:ascii="Times New Roman" w:hAnsi="Times New Roman" w:eastAsia="黑体"/>
          <w:b w:val="0"/>
          <w:sz w:val="28"/>
          <w:szCs w:val="28"/>
        </w:rPr>
      </w:pPr>
      <w:bookmarkStart w:id="294" w:name="_Toc16159"/>
      <w:bookmarkStart w:id="295" w:name="_Toc452017025"/>
      <w:bookmarkStart w:id="296" w:name="_Toc23947159"/>
      <w:bookmarkStart w:id="297" w:name="一、保证金不足强行平仓"/>
      <w:bookmarkStart w:id="298" w:name="_Toc6782"/>
      <w:bookmarkStart w:id="299" w:name="_Toc215740303"/>
      <w:bookmarkStart w:id="300" w:name="_Toc408665043"/>
      <w:bookmarkStart w:id="301" w:name="_Toc16871"/>
      <w:r>
        <w:rPr>
          <w:rFonts w:hint="default" w:ascii="Times New Roman" w:hAnsi="Times New Roman" w:eastAsia="黑体"/>
          <w:b w:val="0"/>
          <w:sz w:val="28"/>
          <w:szCs w:val="28"/>
        </w:rPr>
        <w:t>一、保证金不足强行平仓</w:t>
      </w:r>
      <w:bookmarkEnd w:id="294"/>
      <w:bookmarkEnd w:id="295"/>
      <w:bookmarkEnd w:id="296"/>
      <w:bookmarkEnd w:id="297"/>
      <w:bookmarkEnd w:id="298"/>
      <w:bookmarkEnd w:id="299"/>
      <w:bookmarkEnd w:id="300"/>
      <w:bookmarkEnd w:id="301"/>
    </w:p>
    <w:p w14:paraId="5D501C98">
      <w:pPr>
        <w:spacing w:before="0" w:beforeLines="-2147483648" w:after="0" w:afterLines="-2147483648"/>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（一）触发条件</w:t>
      </w:r>
    </w:p>
    <w:p w14:paraId="20ED162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1.盘中监控</w:t>
      </w:r>
    </w:p>
    <w:p w14:paraId="65E14E83">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（1）客户实时风险值1达到或者高于公司盘中平仓线，且未能在规定时内补足或者自行平仓，证券公司可以在约定时间对客户进行强行平仓。</w:t>
      </w:r>
    </w:p>
    <w:p w14:paraId="6BA6DA5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（2）客户实时风险值2达到或者高于即时处置线，证券公司根据与客户约定可即时对客户进行强行平仓。</w:t>
      </w:r>
    </w:p>
    <w:p w14:paraId="6E08F7B6">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对其客户的组合策略实施强行平仓的，应当提交强制解除组合策略指令，再对组合策略中的义务仓和权利仓实施强行平仓。本所对证券公司提交强制解除组合策略的指令进行结算参与人层面的资金前端校验。</w:t>
      </w:r>
    </w:p>
    <w:p w14:paraId="26537155">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证券公司对客户的买入平仓指令可不检查资金是否足额，若采取资金前端控制，应建立“不足时由客户自行平仓或证券公司进行强行平仓”相关操作流程。</w:t>
      </w:r>
    </w:p>
    <w:p w14:paraId="446639B3">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2.盘后监控</w:t>
      </w:r>
    </w:p>
    <w:p w14:paraId="005E16AD">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（1）客户维持保证金比例1达到或者高于公司盘后平仓线，且未能在规定时间内补足或者自行平仓，证券公司应在下一交易日（T+1日）约定时间对客户进行强行平仓。</w:t>
      </w:r>
    </w:p>
    <w:p w14:paraId="2665D691">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（2）客户维持保证金比2达到或者高于交易所平仓线，且未能在规定时间内补足或者自行平仓，证券公司应在下一交易日（T+1日）上午开盘后尽快对客户进行强行平仓。</w:t>
      </w:r>
    </w:p>
    <w:p w14:paraId="7EFA0ACD">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（二）平仓原则</w:t>
      </w:r>
    </w:p>
    <w:p w14:paraId="3258E411">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证券公司对客户进行强行平仓可采用以下原则：</w:t>
      </w:r>
    </w:p>
    <w:p w14:paraId="0BD23B7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1.按客户保证金不足数额确定客户平仓顺序；</w:t>
      </w:r>
    </w:p>
    <w:p w14:paraId="5DEBE208">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2.对待平仓合约，按前一交易日日终对冲后持仓量由大到小顺序选取待平仓合约，或占用保证金由大到小顺序选取待平仓合约，或可释放保证金由大到小顺序选取待平仓合约等。</w:t>
      </w:r>
    </w:p>
    <w:p w14:paraId="236FB1FB">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证券公司可依照上述原则对客户的部分或全部合约强行平仓，直至低于追保线。</w:t>
      </w:r>
    </w:p>
    <w:p w14:paraId="789D249E">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证券公司应当在与客户签订的</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期权经纪合同中，明确约定对客户执行强行平仓的具体条件与时间，包括可约定“对未持有义务仓而资金余额小于零的客户，可对权利仓进行平仓等”。</w:t>
      </w:r>
    </w:p>
    <w:p w14:paraId="095620B4">
      <w:pPr>
        <w:spacing w:before="0" w:beforeLines="-2147483648" w:after="0" w:afterLines="-2147483648"/>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（三）平仓流程</w:t>
      </w:r>
    </w:p>
    <w:p w14:paraId="1C71D84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1.未收到中国结算强平通知书情况下证券公司对客户发起的强平</w:t>
      </w:r>
    </w:p>
    <w:p w14:paraId="7EDACAC2">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（1）盘中</w:t>
      </w:r>
    </w:p>
    <w:p w14:paraId="716653C5">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盘中监控，客户实时风险值1高于公司盘中平仓线。证券公司应以邮件、短信、交易端提醒等形式（至少采用两种形式）向客户发送“强行平仓警示通知”，并要求客户在约定时间（可以是当日某时或下一交易日的某个时间点）前追加保证金或自行平仓，否则公司将于该时间实施强行平仓。</w:t>
      </w:r>
    </w:p>
    <w:p w14:paraId="5EB31FCE">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若客户账户风险值持续上升，且客户实时风险值2高于即时处置线，证券公司根据</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期权经纪合同中的约定，可即时对客户进行强行平仓。</w:t>
      </w:r>
    </w:p>
    <w:p w14:paraId="360B23C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（2）盘后</w:t>
      </w:r>
    </w:p>
    <w:p w14:paraId="1F190A3A">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日终结算后，若客户维持保证金比例1高于公司盘后平仓线。证券公司应再次以邮件、短信、交易端提醒等形式（至少采用两种形式）向客户发送“强行平仓警示通知”，并要求客户在下一交易日约定时间前追加保证金或自行平仓。否则证券公司可按照与客户的约定执行强行平仓。</w:t>
      </w:r>
    </w:p>
    <w:p w14:paraId="4A457DB2">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日终结算后，若客户维持保证金比例2高于交易所平仓线，证券公司应以电话、邮件、短信、交易端提醒等形式向客户发送“强行平仓通知”，若客户未能在规定时间内补足或者自行平仓，由证券公司尽快对客户进行强行平仓。</w:t>
      </w:r>
    </w:p>
    <w:p w14:paraId="7D2C568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2.收到中国结算强平通知书情况下证券公司对客户发起的强平</w:t>
      </w:r>
    </w:p>
    <w:p w14:paraId="00A3D3BC">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当证券公司结算准备金小于零时，中国结算随当日结算数据向有关证券公司发送“强行平仓通知书”。相关证券公司应在收到通知书后在按中国结算要求在规定时间（下一交易日9:00之前）补足保证金。</w:t>
      </w:r>
    </w:p>
    <w:p w14:paraId="7249C23D">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如无法补足保证金，应对维持保证金比例1高于公司盘后平仓线或维持保证金比例2高于交易所平仓线的客户按相应日常平仓流程处理，并确保在收到通知书后的次一交易日上午11:30前，按要求对保证金未予补足部分进行强行平仓。</w:t>
      </w:r>
    </w:p>
    <w:p w14:paraId="681E711E">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如收到通知书的次一交易日上午，全部合约停牌（即市场停市）且下午有恢复交易时，证券公司应当及时入金或在恢复交易后进行强行平仓，若日终保证金足额，下一交易日，中国结算将不进行保证金不足强行平仓（该情况下，证券公司可以上午入金以尽快消除保证金不足的情形）；若日终保证金不足额，该日日终中国结算将向有关证券公司发送“强行平仓通知书”，证券公司收到通知书后应在规定时间内补足资金或强行平仓。全天市场停市下，强行平仓流程顺延至恢复交易日首日。</w:t>
      </w:r>
    </w:p>
    <w:p w14:paraId="7283284C">
      <w:pPr>
        <w:spacing w:before="0" w:beforeLines="-2147483648" w:after="0" w:afterLines="-2147483648"/>
        <w:ind w:firstLine="560" w:firstLineChars="200"/>
        <w:outlineLvl w:val="1"/>
        <w:rPr>
          <w:rFonts w:ascii="Times New Roman" w:hAnsi="Times New Roman" w:eastAsia="黑体"/>
          <w:b w:val="0"/>
          <w:sz w:val="28"/>
          <w:szCs w:val="28"/>
        </w:rPr>
      </w:pPr>
      <w:bookmarkStart w:id="302" w:name="_Toc16031"/>
      <w:bookmarkStart w:id="303" w:name="_Toc7239"/>
      <w:bookmarkStart w:id="304" w:name="_Toc215740304"/>
      <w:bookmarkStart w:id="305" w:name="_Toc23947160"/>
      <w:bookmarkStart w:id="306" w:name="二、备兑不足强行平仓"/>
      <w:bookmarkStart w:id="307" w:name="_Toc28352"/>
      <w:bookmarkStart w:id="308" w:name="_Toc408665044"/>
      <w:bookmarkStart w:id="309" w:name="_Toc452017026"/>
      <w:r>
        <w:rPr>
          <w:rFonts w:hint="default" w:ascii="Times New Roman" w:hAnsi="Times New Roman" w:eastAsia="黑体"/>
          <w:b w:val="0"/>
          <w:sz w:val="28"/>
          <w:szCs w:val="28"/>
        </w:rPr>
        <w:t>二、备兑不足强行平仓</w:t>
      </w:r>
      <w:bookmarkEnd w:id="302"/>
      <w:bookmarkEnd w:id="303"/>
      <w:bookmarkEnd w:id="304"/>
      <w:bookmarkEnd w:id="305"/>
      <w:bookmarkEnd w:id="306"/>
      <w:bookmarkEnd w:id="307"/>
      <w:bookmarkEnd w:id="308"/>
      <w:bookmarkEnd w:id="309"/>
    </w:p>
    <w:p w14:paraId="6BA8A4F2">
      <w:pPr>
        <w:spacing w:before="0" w:beforeLines="-2147483648" w:after="0" w:afterLines="-2147483648"/>
        <w:ind w:firstLine="560" w:firstLineChars="200"/>
        <w:rPr>
          <w:rFonts w:hint="default" w:ascii="Times New Roman" w:hAnsi="Times New Roman" w:eastAsia="楷体_GB2312"/>
          <w:sz w:val="28"/>
          <w:szCs w:val="28"/>
        </w:rPr>
      </w:pPr>
      <w:r>
        <w:rPr>
          <w:rFonts w:hint="default" w:ascii="Times New Roman" w:hAnsi="Times New Roman" w:eastAsia="楷体_GB2312"/>
          <w:b w:val="0"/>
          <w:bCs w:val="0"/>
          <w:sz w:val="28"/>
          <w:szCs w:val="28"/>
        </w:rPr>
        <w:t>（一）触发条件</w:t>
      </w:r>
    </w:p>
    <w:p w14:paraId="0FA7B6B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证券公司应对客户备兑证券情况进行日常监控，及时关注有可能导致客户备兑证券数量不足的影响因素。导致客户备兑证券数量不足的原因包括但不限于：</w:t>
      </w:r>
    </w:p>
    <w:p w14:paraId="5A465F1D">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1.合约标的发生除权除息变动导致备兑证券数量不足；</w:t>
      </w:r>
    </w:p>
    <w:p w14:paraId="769215EF">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2.行权交收应付证券不足，不足部分使用备兑证券，从而导致备兑证券数量不足；</w:t>
      </w:r>
    </w:p>
    <w:p w14:paraId="33DD603E">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3.其他导致备兑证券数量不足的情形。</w:t>
      </w:r>
    </w:p>
    <w:p w14:paraId="3089DE5A">
      <w:pPr>
        <w:spacing w:before="0" w:beforeLines="-2147483648" w:after="0" w:afterLines="-2147483648"/>
        <w:ind w:firstLine="560" w:firstLineChars="200"/>
        <w:rPr>
          <w:rFonts w:hint="default" w:ascii="Times New Roman" w:hAnsi="Times New Roman" w:eastAsia="楷体_GB2312"/>
          <w:sz w:val="28"/>
          <w:szCs w:val="28"/>
        </w:rPr>
      </w:pPr>
      <w:r>
        <w:rPr>
          <w:rFonts w:hint="default" w:ascii="Times New Roman" w:hAnsi="Times New Roman" w:eastAsia="楷体_GB2312"/>
          <w:b w:val="0"/>
          <w:bCs w:val="0"/>
          <w:sz w:val="28"/>
          <w:szCs w:val="28"/>
        </w:rPr>
        <w:t>（二）平仓原则</w:t>
      </w:r>
    </w:p>
    <w:p w14:paraId="37A64FB5">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当客户出现备兑证券数量不足，且未能在规定时间内补足备兑备用证券或未能对不足部分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自行平仓时，证券公司应当对该客户进行强行平仓。参考原则如下：</w:t>
      </w:r>
    </w:p>
    <w:p w14:paraId="0DAB5C60">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1.对持有备兑证券所对应合约的账户，证券公司应按照备兑证券不足数量由大到小的顺序选取账户作为平仓账户；</w:t>
      </w:r>
    </w:p>
    <w:p w14:paraId="22FDE3C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2.再按照上一交易日收盘后备兑证券不足账户内对应合约持仓量由大到小的顺序选取平仓合约。</w:t>
      </w:r>
    </w:p>
    <w:p w14:paraId="713D3FD7">
      <w:pPr>
        <w:widowControl w:val="0"/>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（三）平仓流程</w:t>
      </w:r>
    </w:p>
    <w:p w14:paraId="49F2573E">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1.未收到中国结算强平通知书情况下证券公司处理流程</w:t>
      </w:r>
    </w:p>
    <w:p w14:paraId="41D6E3C4">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盘中应对客户备兑证券情况进行日间监控。对于当日盘中客户备兑证券数量不足的，证券公司应及时以电话、邮件、短信、交易端提醒等形式（至少采用两种形式）向客户发送“补券或自行平仓通知”，要求客户于在约定时间前补足备兑备用证券或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w:t>
      </w:r>
    </w:p>
    <w:p w14:paraId="26F5525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2.收到中国结算强平通知书情况下证券公司发起的强平</w:t>
      </w:r>
    </w:p>
    <w:p w14:paraId="66F1B71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在当日盘后收到中国结算备兑不足强平通知书的，相关证券公司应在收到通知书后立即进行自查并确定备兑证券数量不足的客户账户，以电话、邮件、短信、交易端提醒等形式（至少采用两种形式）向客户发送“强行平仓通知”，并要求客户在下一交易日上午约定时间（比如10:00）前补足备兑备用证券或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自行平仓。在证券公司约定时间，若客户没有补足备兑备用证券或未能对不足部分</w:t>
      </w:r>
      <w:r>
        <w:rPr>
          <w:rFonts w:hint="default" w:ascii="Times New Roman" w:hAnsi="Times New Roman" w:eastAsia="仿宋_GB2312"/>
          <w:kern w:val="2"/>
          <w:sz w:val="28"/>
          <w:szCs w:val="28"/>
          <w:lang w:val="en-US"/>
        </w:rPr>
        <w:t>数量</w:t>
      </w:r>
      <w:r>
        <w:rPr>
          <w:rFonts w:hint="default" w:ascii="Times New Roman" w:hAnsi="Times New Roman" w:eastAsia="仿宋_GB2312"/>
          <w:sz w:val="28"/>
          <w:szCs w:val="28"/>
        </w:rPr>
        <w:t>自行平仓，证券公司应根据与客户约定的强行平仓原则在约定时间对客户账户执行强行平仓，确保符合中国结算或者本所规定。</w:t>
      </w:r>
    </w:p>
    <w:p w14:paraId="321B6B6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如收到通知书的次一交易日上午，全部合约停牌（即市场停市）且下午有恢复交易时，证券公司应当督促客户补足备兑备用证券或在下午恢复交易后及时进行强行平仓，若日终备兑证券不足的情况消除，所司将不进行备兑证券不足强行平仓；若日终备兑证券仍不足，中国结算将向相关证券公司发送备兑证券不足强平通知书。全天市场停市下，强行平仓流程顺延至恢复交易日首日。</w:t>
      </w:r>
    </w:p>
    <w:p w14:paraId="52BEE4EB">
      <w:pPr>
        <w:widowControl w:val="0"/>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（四）其他</w:t>
      </w:r>
    </w:p>
    <w:p w14:paraId="17BBF533">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除权除息日客户现货账户备兑备用证券数量不足，但存在在途数量（配股送股未上市流通的），且客户备兑备用证券数量与在途数量合并计算后足额的，该客户可视为除权除息日备兑证券数量足额。证券公司不需要在除权除息日通知客户进行补券或自行平仓，或进行强行平仓操作。客户备兑备用证券数量与在途数量合并计算后仍不足的，需要通知客户补足不足部分。在途数量仅能作为已有的备兑持仓的备兑备用证券，不能用于备兑新开仓。</w:t>
      </w:r>
    </w:p>
    <w:p w14:paraId="47FC4F2C">
      <w:pPr>
        <w:widowControl w:val="0"/>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设置专门岗位实时关注交易日发生送股、配股等权益类变动的合约标的，提前提请客户注意，并在除权除息日前一交易日收盘后，根据合约标的当日收盘价，及时提醒和通知客户注意补券及具体补券数量。</w:t>
      </w:r>
    </w:p>
    <w:p w14:paraId="04DD2C3E">
      <w:pPr>
        <w:spacing w:before="0" w:beforeLines="-2147483648" w:after="0" w:afterLines="-2147483648"/>
        <w:ind w:firstLine="560" w:firstLineChars="200"/>
        <w:outlineLvl w:val="1"/>
        <w:rPr>
          <w:rFonts w:ascii="Times New Roman" w:hAnsi="Times New Roman" w:eastAsia="黑体"/>
          <w:b w:val="0"/>
          <w:sz w:val="28"/>
          <w:szCs w:val="28"/>
        </w:rPr>
      </w:pPr>
      <w:bookmarkStart w:id="310" w:name="_Toc21381"/>
      <w:bookmarkStart w:id="311" w:name="三、持仓超限平仓"/>
      <w:bookmarkStart w:id="312" w:name="_Toc17664"/>
      <w:bookmarkStart w:id="313" w:name="_Toc408665045"/>
      <w:bookmarkStart w:id="314" w:name="_Toc7626"/>
      <w:bookmarkStart w:id="315" w:name="_Toc23947161"/>
      <w:bookmarkStart w:id="316" w:name="_Toc452017027"/>
      <w:bookmarkStart w:id="317" w:name="_Toc215740305"/>
      <w:r>
        <w:rPr>
          <w:rFonts w:hint="default" w:ascii="Times New Roman" w:hAnsi="Times New Roman" w:eastAsia="黑体"/>
          <w:b w:val="0"/>
          <w:sz w:val="28"/>
          <w:szCs w:val="28"/>
        </w:rPr>
        <w:t>三、持仓超限平仓</w:t>
      </w:r>
      <w:bookmarkEnd w:id="310"/>
      <w:bookmarkEnd w:id="311"/>
      <w:bookmarkEnd w:id="312"/>
      <w:bookmarkEnd w:id="313"/>
      <w:bookmarkEnd w:id="314"/>
      <w:bookmarkEnd w:id="315"/>
      <w:bookmarkEnd w:id="316"/>
      <w:bookmarkEnd w:id="317"/>
    </w:p>
    <w:p w14:paraId="03146E11">
      <w:pPr>
        <w:spacing w:before="0" w:beforeLines="-2147483648" w:after="0" w:afterLines="-2147483648"/>
        <w:ind w:firstLine="560" w:firstLineChars="200"/>
        <w:rPr>
          <w:rFonts w:hint="default" w:ascii="Times New Roman" w:hAnsi="Times New Roman" w:eastAsia="楷体_GB2312"/>
          <w:sz w:val="28"/>
          <w:szCs w:val="28"/>
        </w:rPr>
      </w:pPr>
      <w:r>
        <w:rPr>
          <w:rFonts w:hint="default" w:ascii="Times New Roman" w:hAnsi="Times New Roman" w:eastAsia="楷体_GB2312"/>
          <w:b w:val="0"/>
          <w:bCs w:val="0"/>
          <w:sz w:val="28"/>
          <w:szCs w:val="28"/>
        </w:rPr>
        <w:t>（一）触发条件</w:t>
      </w:r>
    </w:p>
    <w:p w14:paraId="2A85012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客户单个合约品种超过证券公司与客户约定的持仓限额，且未能在规定时间内自行平仓，证券公司可实施强行平仓。</w:t>
      </w:r>
    </w:p>
    <w:p w14:paraId="3DF5494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由于</w:t>
      </w:r>
      <w:r>
        <w:rPr>
          <w:rFonts w:hint="default" w:ascii="Times New Roman" w:hAnsi="Times New Roman" w:eastAsia="仿宋_GB2312" w:cs="Times New Roman"/>
          <w:sz w:val="28"/>
          <w:szCs w:val="28"/>
        </w:rPr>
        <w:t>本所</w:t>
      </w:r>
      <w:r>
        <w:rPr>
          <w:rFonts w:hint="default" w:ascii="Times New Roman" w:hAnsi="Times New Roman" w:eastAsia="仿宋_GB2312"/>
          <w:bCs w:val="0"/>
          <w:sz w:val="28"/>
          <w:szCs w:val="28"/>
        </w:rPr>
        <w:t>采取风险控制措施等原因降低市场主体持仓限额、证券公司根据经纪合同约定对客户的持仓限额作出调整或者因</w:t>
      </w:r>
      <w:r>
        <w:rPr>
          <w:rFonts w:hint="default" w:ascii="Times New Roman" w:hAnsi="Times New Roman" w:eastAsia="仿宋_GB2312"/>
          <w:sz w:val="28"/>
          <w:szCs w:val="28"/>
        </w:rPr>
        <w:t>客户申请的持仓限额到期导致客户持仓超限，客户可以自行平仓，证券公司不应对客户自行平仓或对客户的超额持仓进行强行平仓，但对客户开仓将按新的持仓限额进行限制。</w:t>
      </w:r>
    </w:p>
    <w:p w14:paraId="76D1B5B6">
      <w:pPr>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（二）平仓原则</w:t>
      </w:r>
    </w:p>
    <w:p w14:paraId="0403C79B">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对单个合约品种持仓超限的，待平仓合约选择范围为在该合约品种中，优先选取总持仓量大的合约作为待平仓合约。</w:t>
      </w:r>
    </w:p>
    <w:p w14:paraId="24F4E2F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对同一合约义务仓进行强行平仓的，先对非备兑持仓进行强行平仓。</w:t>
      </w:r>
    </w:p>
    <w:p w14:paraId="68907BA5">
      <w:pPr>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（三）平仓流程</w:t>
      </w:r>
    </w:p>
    <w:p w14:paraId="1186A961">
      <w:pPr>
        <w:spacing w:before="0" w:beforeLines="-2147483648" w:after="0" w:afterLines="-2147483648"/>
        <w:ind w:firstLine="560" w:firstLineChars="200"/>
        <w:rPr>
          <w:rFonts w:ascii="Times New Roman" w:hAnsi="Times New Roman" w:eastAsia="仿宋_GB2312"/>
          <w:b w:val="0"/>
          <w:sz w:val="28"/>
          <w:szCs w:val="28"/>
        </w:rPr>
      </w:pPr>
      <w:r>
        <w:rPr>
          <w:rFonts w:hint="default" w:ascii="Times New Roman" w:hAnsi="Times New Roman" w:eastAsia="仿宋_GB2312"/>
          <w:sz w:val="28"/>
          <w:szCs w:val="28"/>
        </w:rPr>
        <w:t>对持仓超限需要进行强行平仓的，证券公司应以电话、邮件、短信、交易端提醒等形式向客户发送“强行平仓通知书”，并要求客户在规定时间前自行平仓，否则公司将于该时间实施强行平仓。</w:t>
      </w:r>
    </w:p>
    <w:p w14:paraId="1818C10A">
      <w:pPr>
        <w:spacing w:before="0" w:beforeLines="-2147483648" w:after="0" w:afterLines="-2147483648"/>
        <w:ind w:firstLine="560" w:firstLineChars="200"/>
        <w:outlineLvl w:val="1"/>
        <w:rPr>
          <w:rFonts w:ascii="Times New Roman" w:hAnsi="Times New Roman" w:eastAsia="黑体"/>
          <w:b w:val="0"/>
          <w:sz w:val="28"/>
          <w:szCs w:val="28"/>
        </w:rPr>
      </w:pPr>
      <w:bookmarkStart w:id="318" w:name="_Toc452017028"/>
      <w:bookmarkStart w:id="319" w:name="_Toc13949"/>
      <w:bookmarkStart w:id="320" w:name="_Toc215740306"/>
      <w:bookmarkStart w:id="321" w:name="四、强平成交回报PBU管理"/>
      <w:bookmarkStart w:id="322" w:name="_Toc4933"/>
      <w:bookmarkStart w:id="323" w:name="_Toc21749"/>
      <w:bookmarkStart w:id="324" w:name="_Toc408665046"/>
      <w:bookmarkStart w:id="325" w:name="_Toc23947162"/>
      <w:r>
        <w:rPr>
          <w:rFonts w:hint="default" w:ascii="Times New Roman" w:hAnsi="Times New Roman" w:eastAsia="黑体"/>
          <w:b w:val="0"/>
          <w:sz w:val="28"/>
          <w:szCs w:val="28"/>
        </w:rPr>
        <w:t>四、强平成交回报PBU管理</w:t>
      </w:r>
      <w:bookmarkEnd w:id="318"/>
      <w:bookmarkEnd w:id="319"/>
      <w:bookmarkEnd w:id="320"/>
      <w:bookmarkEnd w:id="321"/>
      <w:bookmarkEnd w:id="322"/>
      <w:bookmarkEnd w:id="323"/>
      <w:bookmarkEnd w:id="324"/>
      <w:bookmarkEnd w:id="325"/>
    </w:p>
    <w:p w14:paraId="734314A6">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当证券公司向本所申请股票期权交易权限时，需同时向本所申报强行平仓成交回报指定PBU，用于实时接收由</w:t>
      </w:r>
      <w:r>
        <w:rPr>
          <w:rFonts w:hint="default" w:ascii="Times New Roman" w:hAnsi="Times New Roman" w:eastAsia="仿宋_GB2312" w:cs="Times New Roman"/>
          <w:sz w:val="28"/>
          <w:szCs w:val="28"/>
        </w:rPr>
        <w:t>本所</w:t>
      </w:r>
      <w:r>
        <w:rPr>
          <w:rFonts w:hint="default" w:ascii="Times New Roman" w:hAnsi="Times New Roman" w:eastAsia="仿宋_GB2312"/>
          <w:sz w:val="28"/>
          <w:szCs w:val="28"/>
        </w:rPr>
        <w:t>进行强行平仓的成交回报，该PBU也同时作为日终证券公司向本所报备相关数据指定的PBU。其中，证券公司应当分别就</w:t>
      </w:r>
      <w:r>
        <w:rPr>
          <w:rFonts w:ascii="Times New Roman" w:hAnsi="Times New Roman" w:eastAsia="仿宋_GB2312"/>
          <w:sz w:val="28"/>
          <w:szCs w:val="28"/>
        </w:rPr>
        <w:t>股票</w:t>
      </w:r>
      <w:r>
        <w:rPr>
          <w:rFonts w:hint="default" w:ascii="Times New Roman" w:hAnsi="Times New Roman" w:eastAsia="仿宋_GB2312"/>
          <w:sz w:val="28"/>
          <w:szCs w:val="28"/>
        </w:rPr>
        <w:t>期权经纪业务和自营业务各申报一个强行平仓成交回报指定PBU。</w:t>
      </w:r>
    </w:p>
    <w:p w14:paraId="34A429B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证券公司可申请修改经纪业务或自营业务强行平仓成交回报指定PBU。申请修改PBU时，登陆本所会籍系统进行更新提交。</w:t>
      </w:r>
    </w:p>
    <w:p w14:paraId="1ABD0EC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证券公司向本所申请注销强行平仓成交回报指定PBU之前，应当先办理强行平仓成交回报指定PBU的变更业务。</w:t>
      </w:r>
    </w:p>
    <w:p w14:paraId="21CE676E">
      <w:pPr>
        <w:spacing w:before="0" w:beforeLines="-2147483648" w:after="0" w:afterLines="-2147483648"/>
        <w:ind w:firstLine="560" w:firstLineChars="200"/>
        <w:outlineLvl w:val="1"/>
        <w:rPr>
          <w:rFonts w:ascii="Times New Roman" w:hAnsi="Times New Roman" w:eastAsia="黑体"/>
          <w:b w:val="0"/>
          <w:sz w:val="28"/>
          <w:szCs w:val="28"/>
        </w:rPr>
      </w:pPr>
      <w:bookmarkStart w:id="326" w:name="五、强行平仓申报订单指令"/>
      <w:bookmarkStart w:id="327" w:name="_Toc452017029"/>
      <w:bookmarkStart w:id="328" w:name="_Toc11354"/>
      <w:bookmarkStart w:id="329" w:name="_Toc7201"/>
      <w:bookmarkStart w:id="330" w:name="_Toc408665047"/>
      <w:bookmarkStart w:id="331" w:name="_Toc215740307"/>
      <w:bookmarkStart w:id="332" w:name="_Toc406660285"/>
      <w:bookmarkStart w:id="333" w:name="_Toc5933"/>
      <w:bookmarkStart w:id="334" w:name="_Toc23947163"/>
      <w:r>
        <w:rPr>
          <w:rFonts w:hint="default" w:ascii="Times New Roman" w:hAnsi="Times New Roman" w:eastAsia="黑体"/>
          <w:b w:val="0"/>
          <w:sz w:val="28"/>
          <w:szCs w:val="28"/>
        </w:rPr>
        <w:t>五、强行平仓申报订单指令</w:t>
      </w:r>
      <w:bookmarkEnd w:id="326"/>
      <w:bookmarkEnd w:id="327"/>
      <w:bookmarkEnd w:id="328"/>
      <w:bookmarkEnd w:id="329"/>
      <w:bookmarkEnd w:id="330"/>
      <w:bookmarkEnd w:id="331"/>
      <w:bookmarkEnd w:id="332"/>
      <w:bookmarkEnd w:id="333"/>
      <w:bookmarkEnd w:id="334"/>
    </w:p>
    <w:p w14:paraId="29BB9BBE">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强行平仓申报订单指令应严格按照相关技术接口要求执行。经纪业务中由</w:t>
      </w:r>
      <w:r>
        <w:rPr>
          <w:rFonts w:hint="default" w:ascii="Times New Roman" w:hAnsi="Times New Roman" w:eastAsia="仿宋_GB2312"/>
          <w:color w:val="auto"/>
          <w:sz w:val="28"/>
          <w:szCs w:val="28"/>
        </w:rPr>
        <w:t>期权经营机构</w:t>
      </w:r>
      <w:r>
        <w:rPr>
          <w:rFonts w:hint="default" w:ascii="Times New Roman" w:hAnsi="Times New Roman" w:eastAsia="仿宋_GB2312"/>
          <w:sz w:val="28"/>
          <w:szCs w:val="28"/>
        </w:rPr>
        <w:t>发起的强行平仓，订单指令为“102=期权经营机构发起”，非期权经营机构发起的强行平仓，订单指令根据账户属性填写。</w:t>
      </w:r>
    </w:p>
    <w:p w14:paraId="75D7C9F3">
      <w:pPr>
        <w:spacing w:before="0" w:beforeLines="-2147483648" w:after="0" w:afterLines="-2147483648"/>
        <w:ind w:firstLine="560" w:firstLineChars="200"/>
        <w:outlineLvl w:val="1"/>
        <w:rPr>
          <w:rFonts w:ascii="Times New Roman" w:hAnsi="Times New Roman" w:eastAsia="黑体"/>
          <w:b w:val="0"/>
          <w:sz w:val="28"/>
          <w:szCs w:val="28"/>
        </w:rPr>
      </w:pPr>
      <w:bookmarkStart w:id="335" w:name="六、平仓有关的应急处理"/>
      <w:bookmarkStart w:id="336" w:name="_Toc452017030"/>
      <w:bookmarkStart w:id="337" w:name="_Toc408665048"/>
      <w:bookmarkStart w:id="338" w:name="_Toc1450"/>
      <w:bookmarkStart w:id="339" w:name="_Toc23947164"/>
      <w:bookmarkStart w:id="340" w:name="_Toc215740308"/>
      <w:bookmarkStart w:id="341" w:name="_Toc4666"/>
      <w:bookmarkStart w:id="342" w:name="_Toc18045"/>
      <w:r>
        <w:rPr>
          <w:rFonts w:hint="default" w:ascii="Times New Roman" w:hAnsi="Times New Roman" w:eastAsia="黑体"/>
          <w:b w:val="0"/>
          <w:sz w:val="28"/>
          <w:szCs w:val="28"/>
        </w:rPr>
        <w:t>六、平仓有关的应急处理</w:t>
      </w:r>
      <w:bookmarkEnd w:id="335"/>
      <w:bookmarkEnd w:id="336"/>
      <w:bookmarkEnd w:id="337"/>
      <w:bookmarkEnd w:id="338"/>
      <w:bookmarkEnd w:id="339"/>
      <w:bookmarkEnd w:id="340"/>
      <w:bookmarkEnd w:id="341"/>
      <w:bookmarkEnd w:id="342"/>
    </w:p>
    <w:p w14:paraId="08030DEF">
      <w:pPr>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（一）备用机制</w:t>
      </w:r>
    </w:p>
    <w:p w14:paraId="13EB2AF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证券公司强行平仓操作应通过</w:t>
      </w:r>
      <w:r>
        <w:rPr>
          <w:rFonts w:ascii="Times New Roman" w:hAnsi="Times New Roman" w:eastAsia="仿宋_GB2312"/>
          <w:sz w:val="28"/>
          <w:szCs w:val="28"/>
        </w:rPr>
        <w:t>股票</w:t>
      </w:r>
      <w:r>
        <w:rPr>
          <w:rFonts w:hint="default" w:ascii="Times New Roman" w:hAnsi="Times New Roman" w:eastAsia="仿宋_GB2312"/>
          <w:sz w:val="28"/>
          <w:szCs w:val="28"/>
        </w:rPr>
        <w:t>期权业务系统执行。当强行平仓系统出现故障时，证券公司应配置备用机制。</w:t>
      </w:r>
    </w:p>
    <w:p w14:paraId="4B62DB99">
      <w:pPr>
        <w:spacing w:before="0" w:beforeLines="-2147483648" w:after="0" w:afterLines="-2147483648"/>
        <w:ind w:firstLine="560" w:firstLineChars="200"/>
        <w:rPr>
          <w:rFonts w:hint="default" w:ascii="Times New Roman" w:hAnsi="Times New Roman" w:eastAsia="楷体_GB2312"/>
          <w:b w:val="0"/>
          <w:bCs w:val="0"/>
          <w:sz w:val="28"/>
          <w:szCs w:val="28"/>
        </w:rPr>
      </w:pPr>
      <w:r>
        <w:rPr>
          <w:rFonts w:hint="default" w:ascii="Times New Roman" w:hAnsi="Times New Roman" w:eastAsia="楷体_GB2312"/>
          <w:b w:val="0"/>
          <w:bCs w:val="0"/>
          <w:sz w:val="28"/>
          <w:szCs w:val="28"/>
        </w:rPr>
        <w:t>（二）证券公司应设置强行平仓错单处理流程</w:t>
      </w:r>
    </w:p>
    <w:p w14:paraId="36B83BD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强行平仓错单是指在实施强行平仓过程中，证券公司因误操作等原因，导致的错平、多平的平仓成交单。证券公司应与客户在</w:t>
      </w:r>
      <w:r>
        <w:rPr>
          <w:rFonts w:ascii="Times New Roman" w:hAnsi="Times New Roman" w:eastAsia="仿宋_GB2312"/>
          <w:sz w:val="28"/>
          <w:szCs w:val="28"/>
        </w:rPr>
        <w:t>股票</w:t>
      </w:r>
      <w:r>
        <w:rPr>
          <w:rFonts w:hint="default" w:ascii="Times New Roman" w:hAnsi="Times New Roman" w:eastAsia="仿宋_GB2312"/>
          <w:sz w:val="28"/>
          <w:szCs w:val="28"/>
        </w:rPr>
        <w:t>期权经纪合同中约定强行平仓错单的情形及补偿办法。</w:t>
      </w:r>
    </w:p>
    <w:p w14:paraId="1A09C7A0">
      <w:pPr>
        <w:widowControl/>
        <w:jc w:val="left"/>
        <w:rPr>
          <w:rFonts w:ascii="Times New Roman" w:hAnsi="Times New Roman" w:eastAsia="仿宋_GB2312"/>
          <w:sz w:val="28"/>
          <w:szCs w:val="28"/>
        </w:rPr>
      </w:pPr>
      <w:r>
        <w:rPr>
          <w:rFonts w:ascii="Times New Roman" w:hAnsi="Times New Roman" w:eastAsia="仿宋_GB2312"/>
          <w:sz w:val="28"/>
          <w:szCs w:val="28"/>
        </w:rPr>
        <w:br w:type="page"/>
      </w:r>
    </w:p>
    <w:p w14:paraId="19A0F68C">
      <w:pPr>
        <w:spacing w:before="156" w:beforeLines="50" w:after="156" w:afterLines="50"/>
        <w:jc w:val="center"/>
        <w:outlineLvl w:val="0"/>
        <w:rPr>
          <w:rFonts w:hint="default" w:ascii="Times New Roman" w:hAnsi="Times New Roman" w:eastAsia="黑体"/>
          <w:b/>
          <w:bCs/>
          <w:sz w:val="32"/>
          <w:szCs w:val="32"/>
        </w:rPr>
      </w:pPr>
      <w:bookmarkStart w:id="343" w:name="_Toc23947165"/>
      <w:bookmarkStart w:id="344" w:name="_Toc452017031"/>
      <w:bookmarkStart w:id="345" w:name="_Toc15523"/>
      <w:bookmarkStart w:id="346" w:name="_Toc408665049"/>
      <w:bookmarkStart w:id="347" w:name="_Toc24288"/>
      <w:bookmarkStart w:id="348" w:name="_Toc12774"/>
      <w:bookmarkStart w:id="349" w:name="_Toc215740309"/>
      <w:bookmarkStart w:id="350" w:name="第九章行权交收管理"/>
      <w:r>
        <w:rPr>
          <w:rFonts w:hint="default" w:ascii="Times New Roman" w:hAnsi="Times New Roman" w:eastAsia="黑体"/>
          <w:b/>
          <w:bCs/>
          <w:sz w:val="32"/>
          <w:szCs w:val="32"/>
        </w:rPr>
        <w:t>第九章 行权交收管理</w:t>
      </w:r>
      <w:bookmarkEnd w:id="343"/>
      <w:bookmarkEnd w:id="344"/>
      <w:bookmarkEnd w:id="345"/>
      <w:bookmarkEnd w:id="346"/>
      <w:bookmarkEnd w:id="347"/>
      <w:bookmarkEnd w:id="348"/>
      <w:bookmarkEnd w:id="349"/>
      <w:bookmarkEnd w:id="350"/>
    </w:p>
    <w:p w14:paraId="4C18482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证券公司在</w:t>
      </w:r>
      <w:r>
        <w:rPr>
          <w:rFonts w:ascii="Times New Roman" w:hAnsi="Times New Roman" w:eastAsia="仿宋_GB2312"/>
          <w:sz w:val="28"/>
          <w:szCs w:val="28"/>
        </w:rPr>
        <w:t>股票</w:t>
      </w:r>
      <w:r>
        <w:rPr>
          <w:rFonts w:hint="default" w:ascii="Times New Roman" w:hAnsi="Times New Roman" w:eastAsia="仿宋_GB2312"/>
          <w:sz w:val="28"/>
          <w:szCs w:val="28"/>
        </w:rPr>
        <w:t>期权合约最后交易日前对临近到期合约、潜在违约风险值进行监控，并对相应客户进行预警；在</w:t>
      </w:r>
      <w:r>
        <w:rPr>
          <w:rFonts w:ascii="Times New Roman" w:hAnsi="Times New Roman" w:eastAsia="仿宋_GB2312"/>
          <w:sz w:val="28"/>
          <w:szCs w:val="28"/>
        </w:rPr>
        <w:t>股票</w:t>
      </w:r>
      <w:r>
        <w:rPr>
          <w:rFonts w:hint="default" w:ascii="Times New Roman" w:hAnsi="Times New Roman" w:eastAsia="仿宋_GB2312"/>
          <w:sz w:val="28"/>
          <w:szCs w:val="28"/>
        </w:rPr>
        <w:t>期权合约行权交收日，对认购期权义务方、认沽期权义务方的交收风险值监控，并采取相应的处置措施。</w:t>
      </w:r>
    </w:p>
    <w:p w14:paraId="37CEBD8F">
      <w:pPr>
        <w:spacing w:before="0" w:beforeLines="-2147483648" w:after="0" w:afterLines="-2147483648"/>
        <w:ind w:firstLine="560" w:firstLineChars="200"/>
        <w:outlineLvl w:val="1"/>
        <w:rPr>
          <w:rFonts w:ascii="Times New Roman" w:hAnsi="Times New Roman" w:eastAsia="黑体"/>
          <w:b w:val="0"/>
          <w:sz w:val="28"/>
          <w:szCs w:val="28"/>
        </w:rPr>
      </w:pPr>
      <w:bookmarkStart w:id="351" w:name="_Toc452017032"/>
      <w:bookmarkStart w:id="352" w:name="_Toc17489"/>
      <w:bookmarkStart w:id="353" w:name="_Toc215740310"/>
      <w:bookmarkStart w:id="354" w:name="_Toc30411"/>
      <w:bookmarkStart w:id="355" w:name="_Toc23947166"/>
      <w:bookmarkStart w:id="356" w:name="_Toc408665050"/>
      <w:bookmarkStart w:id="357" w:name="一、投资者持仓合约的行权提醒"/>
      <w:bookmarkStart w:id="358" w:name="_Toc13355"/>
      <w:r>
        <w:rPr>
          <w:rFonts w:hint="default" w:ascii="Times New Roman" w:hAnsi="Times New Roman" w:eastAsia="黑体"/>
          <w:b w:val="0"/>
          <w:sz w:val="28"/>
          <w:szCs w:val="28"/>
        </w:rPr>
        <w:t>一、投资者持仓合约的行权提醒</w:t>
      </w:r>
      <w:bookmarkEnd w:id="351"/>
      <w:bookmarkEnd w:id="352"/>
      <w:bookmarkEnd w:id="353"/>
      <w:bookmarkEnd w:id="354"/>
      <w:bookmarkEnd w:id="355"/>
      <w:bookmarkEnd w:id="356"/>
      <w:bookmarkEnd w:id="357"/>
      <w:bookmarkEnd w:id="358"/>
    </w:p>
    <w:p w14:paraId="4F764566">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证券公司应在</w:t>
      </w:r>
      <w:r>
        <w:rPr>
          <w:rFonts w:ascii="Times New Roman" w:hAnsi="Times New Roman" w:eastAsia="仿宋_GB2312"/>
          <w:sz w:val="28"/>
          <w:szCs w:val="28"/>
        </w:rPr>
        <w:t>股票</w:t>
      </w:r>
      <w:r>
        <w:rPr>
          <w:rFonts w:hint="default" w:ascii="Times New Roman" w:hAnsi="Times New Roman" w:eastAsia="仿宋_GB2312"/>
          <w:sz w:val="28"/>
          <w:szCs w:val="28"/>
        </w:rPr>
        <w:t>期权合约临近到期日前3个交易日至到期日，每日通过交易客户端、短信、邮件等形式（至少采用两种形式）进行提醒。</w:t>
      </w:r>
    </w:p>
    <w:p w14:paraId="184E8EC5">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证券公司可在</w:t>
      </w:r>
      <w:r>
        <w:rPr>
          <w:rFonts w:ascii="Times New Roman" w:hAnsi="Times New Roman" w:eastAsia="仿宋_GB2312"/>
          <w:sz w:val="28"/>
          <w:szCs w:val="28"/>
        </w:rPr>
        <w:t>股票</w:t>
      </w:r>
      <w:r>
        <w:rPr>
          <w:rFonts w:hint="default" w:ascii="Times New Roman" w:hAnsi="Times New Roman" w:eastAsia="仿宋_GB2312"/>
          <w:sz w:val="28"/>
          <w:szCs w:val="28"/>
        </w:rPr>
        <w:t>期权合约临近到期日前5个交易日至到期日，每日对下列投资者进行提醒：（1）持有虚值期权合约的权利方；（2）持有实值期权合约的义务方。</w:t>
      </w:r>
    </w:p>
    <w:p w14:paraId="3E3FF24E">
      <w:pPr>
        <w:spacing w:before="0" w:beforeLines="-2147483648" w:after="0" w:afterLines="-2147483648"/>
        <w:ind w:firstLine="560" w:firstLineChars="200"/>
        <w:outlineLvl w:val="1"/>
        <w:rPr>
          <w:rFonts w:ascii="Times New Roman" w:hAnsi="Times New Roman" w:eastAsia="黑体"/>
          <w:b w:val="0"/>
          <w:sz w:val="28"/>
          <w:szCs w:val="28"/>
        </w:rPr>
      </w:pPr>
      <w:bookmarkStart w:id="359" w:name="_Toc21161"/>
      <w:bookmarkStart w:id="360" w:name="二、投资者行权及交收日风险管理"/>
      <w:bookmarkStart w:id="361" w:name="_Toc3339"/>
      <w:bookmarkStart w:id="362" w:name="_Toc2916"/>
      <w:bookmarkStart w:id="363" w:name="_Toc23947167"/>
      <w:bookmarkStart w:id="364" w:name="_Toc215740311"/>
      <w:bookmarkStart w:id="365" w:name="_Toc408665051"/>
      <w:bookmarkStart w:id="366" w:name="_Toc452017033"/>
      <w:r>
        <w:rPr>
          <w:rFonts w:hint="default" w:ascii="Times New Roman" w:hAnsi="Times New Roman" w:eastAsia="黑体"/>
          <w:b w:val="0"/>
          <w:sz w:val="28"/>
          <w:szCs w:val="28"/>
        </w:rPr>
        <w:t>二、投资者行权及交收日风险管理</w:t>
      </w:r>
      <w:bookmarkEnd w:id="359"/>
      <w:bookmarkEnd w:id="360"/>
      <w:bookmarkEnd w:id="361"/>
      <w:bookmarkEnd w:id="362"/>
      <w:bookmarkEnd w:id="363"/>
      <w:bookmarkEnd w:id="364"/>
      <w:bookmarkEnd w:id="365"/>
      <w:bookmarkEnd w:id="366"/>
    </w:p>
    <w:p w14:paraId="5E24A981">
      <w:pPr>
        <w:spacing w:before="0" w:beforeLines="-2147483648" w:after="0" w:afterLines="-2147483648"/>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1.</w:t>
      </w:r>
      <w:r>
        <w:rPr>
          <w:rFonts w:hint="default" w:ascii="Times New Roman" w:hAnsi="Times New Roman" w:eastAsia="仿宋_GB2312" w:cs="Times New Roman"/>
          <w:sz w:val="28"/>
          <w:szCs w:val="28"/>
        </w:rPr>
        <w:t>行权日15:00-15:30，投资者可行权数量应为未平仓权利仓数量（包括已申报未成交数量）。</w:t>
      </w:r>
    </w:p>
    <w:p w14:paraId="0799010E">
      <w:pPr>
        <w:spacing w:before="0" w:beforeLines="-2147483648" w:after="0" w:afterLines="-2147483648"/>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证券公司应完善相应的技术系统，确保行权日当天申报未成交的数量在15:00-15:30可行权。</w:t>
      </w:r>
    </w:p>
    <w:p w14:paraId="0009A572">
      <w:pPr>
        <w:spacing w:before="0" w:beforeLines="-2147483648" w:after="0" w:afterLines="-2147483648"/>
        <w:ind w:firstLine="560" w:firstLineChars="200"/>
        <w:rPr>
          <w:rFonts w:ascii="Times New Roman" w:hAnsi="Times New Roman" w:eastAsia="仿宋_GB2312"/>
          <w:b w:val="0"/>
          <w:sz w:val="28"/>
          <w:szCs w:val="28"/>
        </w:rPr>
      </w:pPr>
      <w:r>
        <w:rPr>
          <w:rFonts w:hint="eastAsia" w:ascii="Times New Roman" w:hAnsi="Times New Roman" w:eastAsia="仿宋_GB2312"/>
          <w:sz w:val="28"/>
          <w:szCs w:val="28"/>
        </w:rPr>
        <w:t>2.</w:t>
      </w:r>
      <w:r>
        <w:rPr>
          <w:rFonts w:hint="default" w:ascii="Times New Roman" w:hAnsi="Times New Roman" w:eastAsia="仿宋_GB2312" w:cs="Times New Roman"/>
          <w:sz w:val="28"/>
          <w:szCs w:val="28"/>
        </w:rPr>
        <w:t>行权日同时提出认购期权行权和认沽期权行权的投资者，若行权同时有效，行权指派后中国结算按照轧差计算该投资者需要交付的资金和标的证券。</w:t>
      </w:r>
    </w:p>
    <w:p w14:paraId="59AC6503">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在行权日，如果投资者对持有的虚值期权（以合约标的实时价格计算）提交行权指令，证券公司应在客户交易终端的下单界面提醒投资者，合约为虚值的行权风险。</w:t>
      </w:r>
    </w:p>
    <w:p w14:paraId="1B77739E">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证券公司可向投资者提供“协议行权”服务。详见第十章关于协议行权的内容。</w:t>
      </w:r>
    </w:p>
    <w:p w14:paraId="3586B7FB">
      <w:pPr>
        <w:spacing w:before="0" w:beforeLines="-2147483648" w:after="0" w:afterLines="-2147483648"/>
        <w:ind w:firstLine="560" w:firstLineChars="200"/>
        <w:rPr>
          <w:rFonts w:ascii="Times New Roman" w:hAnsi="Times New Roman" w:eastAsia="仿宋_GB2312"/>
          <w:kern w:val="2"/>
          <w:sz w:val="28"/>
          <w:szCs w:val="28"/>
          <w:lang w:val="en-US"/>
        </w:rPr>
      </w:pPr>
      <w:r>
        <w:rPr>
          <w:rFonts w:hint="eastAsia" w:ascii="Times New Roman" w:hAnsi="Times New Roman" w:eastAsia="仿宋_GB2312"/>
          <w:sz w:val="28"/>
          <w:szCs w:val="28"/>
        </w:rPr>
        <w:t>5.</w:t>
      </w:r>
      <w:r>
        <w:rPr>
          <w:rFonts w:hint="default" w:ascii="Times New Roman" w:hAnsi="Times New Roman" w:eastAsia="仿宋_GB2312"/>
          <w:kern w:val="2"/>
          <w:sz w:val="28"/>
          <w:szCs w:val="28"/>
          <w:lang w:val="en-US"/>
        </w:rPr>
        <w:t>合约行权交收日，证券公司应监控行权交收应交券方的“行权交收应交券方违约风险1”和“行权交收应交券方违约风险2”，即监控投资者持有合约标的的情况，对投资者所持有的合约标的不能满足行权交收应交付数量的投资者，进行电话提醒并督促其补足应交合约标的数量。</w:t>
      </w:r>
    </w:p>
    <w:p w14:paraId="09F857DC">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行权交收应交券方违约风险1=应交数量/账户所持相关流通证券的数量（含备兑持仓）</w:t>
      </w:r>
    </w:p>
    <w:p w14:paraId="25459B17">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行权交收应交券方违约风险2=应交数量/账户所持相关流通证券的数量（不含备兑持仓）</w:t>
      </w:r>
    </w:p>
    <w:p w14:paraId="0152C3E9">
      <w:pPr>
        <w:spacing w:before="0" w:beforeLines="-2147483648" w:after="0" w:afterLines="-2147483648"/>
        <w:ind w:firstLine="560" w:firstLineChars="200"/>
        <w:rPr>
          <w:rFonts w:ascii="Times New Roman" w:hAnsi="Times New Roman" w:eastAsia="仿宋_GB2312"/>
          <w:kern w:val="2"/>
          <w:sz w:val="28"/>
          <w:szCs w:val="28"/>
          <w:lang w:val="en-US"/>
        </w:rPr>
      </w:pPr>
      <w:r>
        <w:rPr>
          <w:rFonts w:hint="eastAsia" w:ascii="Times New Roman" w:hAnsi="Times New Roman" w:eastAsia="仿宋_GB2312"/>
          <w:sz w:val="28"/>
          <w:szCs w:val="28"/>
        </w:rPr>
        <w:t>6.</w:t>
      </w:r>
      <w:r>
        <w:rPr>
          <w:rFonts w:hint="default" w:ascii="Times New Roman" w:hAnsi="Times New Roman" w:eastAsia="仿宋_GB2312"/>
          <w:kern w:val="2"/>
          <w:sz w:val="28"/>
          <w:szCs w:val="28"/>
          <w:lang w:val="en-US"/>
        </w:rPr>
        <w:t>合约交收日约定时间内，对合约标的应付方，若准备交收的合约标的仍不足，证券公司可根据与客户在</w:t>
      </w:r>
      <w:r>
        <w:rPr>
          <w:rFonts w:ascii="Times New Roman" w:hAnsi="Times New Roman" w:eastAsia="仿宋_GB2312"/>
          <w:sz w:val="28"/>
          <w:szCs w:val="28"/>
        </w:rPr>
        <w:t>股票</w:t>
      </w:r>
      <w:r>
        <w:rPr>
          <w:rFonts w:hint="default" w:ascii="Times New Roman" w:hAnsi="Times New Roman" w:eastAsia="仿宋_GB2312"/>
          <w:kern w:val="2"/>
          <w:sz w:val="28"/>
          <w:szCs w:val="28"/>
          <w:lang w:val="en-US"/>
        </w:rPr>
        <w:t>期权经纪合同中的约定，为客户买入合约标的或使用自有证券代为提供不足部分的合约标的。</w:t>
      </w:r>
    </w:p>
    <w:p w14:paraId="15B46DC9">
      <w:pPr>
        <w:spacing w:before="0" w:beforeLines="-2147483648" w:after="0" w:afterLines="-2147483648"/>
        <w:ind w:firstLine="560" w:firstLineChars="200"/>
        <w:rPr>
          <w:rFonts w:ascii="Times New Roman" w:hAnsi="Times New Roman" w:eastAsia="仿宋_GB2312"/>
          <w:kern w:val="2"/>
          <w:sz w:val="28"/>
          <w:szCs w:val="28"/>
          <w:lang w:val="en-US"/>
        </w:rPr>
      </w:pPr>
      <w:r>
        <w:rPr>
          <w:rFonts w:hint="eastAsia" w:ascii="Times New Roman" w:hAnsi="Times New Roman" w:eastAsia="仿宋_GB2312"/>
          <w:sz w:val="28"/>
          <w:szCs w:val="28"/>
        </w:rPr>
        <w:t>7.</w:t>
      </w:r>
      <w:r>
        <w:rPr>
          <w:rFonts w:hint="default" w:ascii="Times New Roman" w:hAnsi="Times New Roman" w:eastAsia="仿宋_GB2312"/>
          <w:kern w:val="2"/>
          <w:sz w:val="28"/>
          <w:szCs w:val="28"/>
          <w:lang w:val="en-US"/>
        </w:rPr>
        <w:t>合约行权交收日，对行权交收资金应付方，证券公司应监控账户“行权交收资金应付方违约风险值”，即股票期权保证金账户中资金能否满足行权交收所需的现金。</w:t>
      </w:r>
    </w:p>
    <w:p w14:paraId="4D4C8AE5">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行权交收资金应付方违约风险=应付所需资金/（可用资金+行权日行权交收已冻结的资金）</w:t>
      </w:r>
    </w:p>
    <w:p w14:paraId="1ABD285D">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证券公司对“行权交收资金应付方违约风险”设定预警值，比如85%，如果超过</w:t>
      </w:r>
      <w:r>
        <w:rPr>
          <w:rFonts w:ascii="Times New Roman" w:hAnsi="Times New Roman" w:eastAsia="仿宋_GB2312"/>
          <w:sz w:val="28"/>
          <w:szCs w:val="28"/>
        </w:rPr>
        <w:t>阈值</w:t>
      </w:r>
      <w:r>
        <w:rPr>
          <w:rFonts w:hint="default" w:ascii="Times New Roman" w:hAnsi="Times New Roman" w:eastAsia="仿宋_GB2312"/>
          <w:kern w:val="2"/>
          <w:sz w:val="28"/>
          <w:szCs w:val="28"/>
          <w:lang w:val="en-US"/>
        </w:rPr>
        <w:t>，证券公司将对客户预警，而如果大于100%，则表明该账户存在很高的违约交收风险，证券公司需采取措施，通知客户入金。</w:t>
      </w:r>
    </w:p>
    <w:p w14:paraId="171A046C">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eastAsia" w:ascii="Times New Roman" w:hAnsi="Times New Roman" w:eastAsia="仿宋_GB2312"/>
          <w:sz w:val="28"/>
          <w:szCs w:val="28"/>
        </w:rPr>
        <w:t>8.</w:t>
      </w:r>
      <w:r>
        <w:rPr>
          <w:rFonts w:hint="default" w:ascii="Times New Roman" w:hAnsi="Times New Roman" w:eastAsia="仿宋_GB2312"/>
          <w:kern w:val="2"/>
          <w:sz w:val="28"/>
          <w:szCs w:val="28"/>
          <w:lang w:val="en-US"/>
        </w:rPr>
        <w:t>客户认沽期权义务方被指派行权后资金不足或客户认购期权权利方行权资金不足的，证券公司可以自有资金先行垫付，并向本所申报将相关行权所得证券划入处置证券账户。</w:t>
      </w:r>
    </w:p>
    <w:p w14:paraId="370E9DA3">
      <w:pPr>
        <w:widowControl w:val="0"/>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日终中国结算将对行权、证券转处置/转回指令申报进行校验，证券公司应确保申报交易单元清算编号与相应账户指定交易单元清算编号一致。</w:t>
      </w:r>
    </w:p>
    <w:p w14:paraId="167E0B06">
      <w:pPr>
        <w:spacing w:before="0" w:beforeLines="-2147483648" w:after="0" w:afterLines="-2147483648"/>
        <w:ind w:firstLine="560" w:firstLineChars="200"/>
        <w:outlineLvl w:val="1"/>
        <w:rPr>
          <w:rFonts w:ascii="Times New Roman" w:hAnsi="Times New Roman" w:eastAsia="黑体"/>
          <w:b w:val="0"/>
          <w:sz w:val="28"/>
          <w:szCs w:val="28"/>
        </w:rPr>
      </w:pPr>
      <w:bookmarkStart w:id="367" w:name="_Toc6306"/>
      <w:bookmarkStart w:id="368" w:name="_Toc408665052"/>
      <w:bookmarkStart w:id="369" w:name="_Toc23947168"/>
      <w:bookmarkStart w:id="370" w:name="_Toc31002"/>
      <w:bookmarkStart w:id="371" w:name="_Toc30395"/>
      <w:bookmarkStart w:id="372" w:name="_Toc215740312"/>
      <w:bookmarkStart w:id="373" w:name="_Toc452017034"/>
      <w:bookmarkStart w:id="374" w:name="三、行权日前调整保证金参数水平提醒"/>
      <w:r>
        <w:rPr>
          <w:rFonts w:hint="default" w:ascii="Times New Roman" w:hAnsi="Times New Roman" w:eastAsia="黑体"/>
          <w:b w:val="0"/>
          <w:sz w:val="28"/>
          <w:szCs w:val="28"/>
        </w:rPr>
        <w:t>三、行权日前调整保证金参数水平提醒</w:t>
      </w:r>
      <w:bookmarkEnd w:id="367"/>
      <w:bookmarkEnd w:id="368"/>
      <w:bookmarkEnd w:id="369"/>
      <w:bookmarkEnd w:id="370"/>
      <w:bookmarkEnd w:id="371"/>
      <w:bookmarkEnd w:id="372"/>
      <w:bookmarkEnd w:id="373"/>
      <w:bookmarkEnd w:id="374"/>
    </w:p>
    <w:p w14:paraId="3C7945BD">
      <w:pPr>
        <w:spacing w:before="0" w:beforeLines="-2147483648" w:after="0" w:afterLines="-2147483648"/>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若证券公司按照本指南进行保证金水平参数设置（见本指南第六章“保证金管理”中第一节“客户保证金管理”的第（一）点“保证金水平”），证券公司应在与投资者签署的</w:t>
      </w:r>
      <w:r>
        <w:rPr>
          <w:rFonts w:ascii="Times New Roman" w:hAnsi="Times New Roman" w:eastAsia="仿宋_GB2312"/>
          <w:sz w:val="28"/>
          <w:szCs w:val="28"/>
        </w:rPr>
        <w:t>股票</w:t>
      </w:r>
      <w:r>
        <w:rPr>
          <w:rFonts w:hint="default" w:ascii="Times New Roman" w:hAnsi="Times New Roman" w:eastAsia="仿宋_GB2312"/>
          <w:kern w:val="2"/>
          <w:sz w:val="28"/>
          <w:szCs w:val="28"/>
          <w:lang w:val="en-US"/>
        </w:rPr>
        <w:t>期权经纪合同中，明确约定可能导致保证金参数水平调整的情形。若在临近行权日进行了参数调整，调整后，应当及时通过邮件、短信、交易客户端等形式（至少采用两种形式）做好通知提醒工作。</w:t>
      </w:r>
    </w:p>
    <w:p w14:paraId="3DBF5F93">
      <w:pPr>
        <w:spacing w:before="0" w:beforeLines="-2147483648" w:after="0" w:afterLines="-2147483648"/>
        <w:ind w:firstLine="560" w:firstLineChars="200"/>
        <w:outlineLvl w:val="1"/>
        <w:rPr>
          <w:rFonts w:ascii="Times New Roman" w:hAnsi="Times New Roman" w:eastAsia="黑体"/>
          <w:b w:val="0"/>
          <w:sz w:val="28"/>
          <w:szCs w:val="28"/>
        </w:rPr>
      </w:pPr>
      <w:bookmarkStart w:id="375" w:name="_Toc215740313"/>
      <w:bookmarkStart w:id="376" w:name="_Toc23947169"/>
      <w:r>
        <w:rPr>
          <w:rFonts w:hint="default" w:ascii="Times New Roman" w:hAnsi="Times New Roman" w:eastAsia="黑体"/>
          <w:b w:val="0"/>
          <w:sz w:val="28"/>
          <w:szCs w:val="28"/>
        </w:rPr>
        <w:t>四、行权指令合并申报</w:t>
      </w:r>
      <w:bookmarkEnd w:id="375"/>
      <w:bookmarkEnd w:id="376"/>
    </w:p>
    <w:p w14:paraId="78DA118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行权日，证券公司可以为同时持有相同标的证券当日到期的认购和认沽期权权利仓的客户提供行权指令合并申报功能，使客户实现到期认购和认沽期权的同步行权。具体安排如下：</w:t>
      </w:r>
    </w:p>
    <w:p w14:paraId="0864CF0E">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行权日9:15至9:25</w:t>
      </w:r>
      <w:r>
        <w:rPr>
          <w:rFonts w:hint="eastAsia" w:ascii="Times New Roman" w:hAnsi="Times New Roman" w:eastAsia="仿宋_GB2312"/>
          <w:sz w:val="28"/>
          <w:szCs w:val="28"/>
          <w:lang w:eastAsia="zh-CN"/>
        </w:rPr>
        <w:t>、</w:t>
      </w:r>
      <w:r>
        <w:rPr>
          <w:rFonts w:hint="default" w:ascii="Times New Roman" w:hAnsi="Times New Roman" w:eastAsia="仿宋_GB2312"/>
          <w:sz w:val="28"/>
          <w:szCs w:val="28"/>
        </w:rPr>
        <w:t>9:30至11:30、13:00至15:30，客户可向证券公司提出行权指令合并申报委托，每一单位数量的行权指令合并申报包括同一标的的当日到期认购和认沽期权权利仓各一张，认购和认沽期权的合约单位必须相同，认沽期权行权价需高于认购期权。</w:t>
      </w:r>
    </w:p>
    <w:p w14:paraId="23F86ECA">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可多次提交行权指令合并申报，累计申报的行权数量不应超过其持有的权利仓净头寸（即相应衍生品合约账户同一合约到期组合策略解除后，权利仓和义务仓对冲后的持仓）。若某次申报数量超过当前净头寸，则该笔申报中仅持有的权利仓净头寸部分有效。例如，行权日某客户持有的净头寸为15张认购期权权利仓和15张认沽期权权利仓，该客户第一次提出一笔10张认购期权和10张认沽期权的行权指令合并申报，则申报有效；之后第二次再提出一笔10张认购期权和10张认沽期权的行权指令合并申报，因为当前的累计申报数量超过其持有的权利仓净头寸，则该笔行权指令合并申报中仅5张认购期权和5张认沽期权的行权指令合并申报有效。</w:t>
      </w:r>
    </w:p>
    <w:p w14:paraId="18AE5A50">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行权指令合并申报可以撤销，撤销申报时间为行权日9:15至9:25</w:t>
      </w:r>
      <w:r>
        <w:rPr>
          <w:rFonts w:hint="eastAsia" w:ascii="Times New Roman" w:hAnsi="Times New Roman" w:eastAsia="仿宋_GB2312"/>
          <w:sz w:val="28"/>
          <w:szCs w:val="28"/>
          <w:lang w:eastAsia="zh-CN"/>
        </w:rPr>
        <w:t>、</w:t>
      </w:r>
      <w:r>
        <w:rPr>
          <w:rFonts w:hint="default" w:ascii="Times New Roman" w:hAnsi="Times New Roman" w:eastAsia="仿宋_GB2312"/>
          <w:sz w:val="28"/>
          <w:szCs w:val="28"/>
        </w:rPr>
        <w:t>9:30至11:30、13:00至15:30。</w:t>
      </w:r>
    </w:p>
    <w:p w14:paraId="5DADB3D2">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证券公司根据客户的行权申报（包括行权指令合并申报和非行权指令合并申报），进行前端控制包括但不限于以下内容：</w:t>
      </w:r>
    </w:p>
    <w:p w14:paraId="6453FD20">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（1）行权指令合并申报为同一标的证券、合约单位相等、合约为认购与认沽期权、合约在当日到期、认沽期权行权价高于认购期权。</w:t>
      </w:r>
    </w:p>
    <w:p w14:paraId="4D8DDAEF">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对行权指令合并申报和非行权指令合并申报进行前端控制，检验认购期权和认沽期权累计行权指令合并申报数量（扣减撤单后）不得超过客户持有的相应认购期权合约权利仓净头寸及认沽期权合约权利仓净头寸的较小值，认购和认沽行权累计数量（扣减撤单后）不得超过客户持有的相应合约权利仓净头寸。净头寸以当日到期组合策略解除后的净头寸为准。</w:t>
      </w:r>
    </w:p>
    <w:p w14:paraId="6350EDC7">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行权日9:15至9:25</w:t>
      </w:r>
      <w:r>
        <w:rPr>
          <w:rFonts w:hint="eastAsia" w:ascii="Times New Roman" w:hAnsi="Times New Roman" w:eastAsia="仿宋_GB2312"/>
          <w:sz w:val="28"/>
          <w:szCs w:val="28"/>
          <w:lang w:eastAsia="zh-CN"/>
        </w:rPr>
        <w:t>、</w:t>
      </w:r>
      <w:r>
        <w:rPr>
          <w:rFonts w:hint="default" w:ascii="Times New Roman" w:hAnsi="Times New Roman" w:eastAsia="仿宋_GB2312"/>
          <w:sz w:val="28"/>
          <w:szCs w:val="28"/>
        </w:rPr>
        <w:t>9:30至11:30、13:00至15:30，证券公司向本所提交行权指令合并申报指令。</w:t>
      </w:r>
    </w:p>
    <w:p w14:paraId="445B6289">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本所对证券公司提交的行权指令合并申报进行前端检查，主要检查以下内容：</w:t>
      </w:r>
    </w:p>
    <w:p w14:paraId="1053988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（1）相关合约标的是否相同；</w:t>
      </w:r>
    </w:p>
    <w:p w14:paraId="0DC3670A">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（2）合约单位是否相等；</w:t>
      </w:r>
    </w:p>
    <w:p w14:paraId="6D88FB43">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（3）一个单位数量的行权指令合并申报是否为认购合约和认沽期权合约各一张；</w:t>
      </w:r>
    </w:p>
    <w:p w14:paraId="4B83F38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（4）是否均为当日到期合约；</w:t>
      </w:r>
    </w:p>
    <w:p w14:paraId="2AF282D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（5）认沽期权行权价是否高于认购期权；</w:t>
      </w:r>
    </w:p>
    <w:p w14:paraId="52CC5301">
      <w:pPr>
        <w:spacing w:before="0" w:beforeLines="-2147483648" w:after="0" w:afterLines="-2147483648"/>
        <w:ind w:firstLine="560" w:firstLineChars="200"/>
        <w:rPr>
          <w:rFonts w:ascii="Times New Roman" w:hAnsi="Times New Roman" w:eastAsia="仿宋_GB2312"/>
          <w:kern w:val="2"/>
          <w:sz w:val="28"/>
          <w:szCs w:val="28"/>
          <w:lang w:val="en-US"/>
        </w:rPr>
      </w:pPr>
      <w:r>
        <w:rPr>
          <w:rFonts w:hint="eastAsia" w:ascii="Times New Roman" w:hAnsi="Times New Roman" w:eastAsia="仿宋_GB2312"/>
          <w:sz w:val="28"/>
          <w:szCs w:val="28"/>
        </w:rPr>
        <w:t>5.</w:t>
      </w:r>
      <w:r>
        <w:rPr>
          <w:rFonts w:hint="default" w:ascii="Times New Roman" w:hAnsi="Times New Roman" w:eastAsia="仿宋_GB2312"/>
          <w:sz w:val="28"/>
          <w:szCs w:val="28"/>
        </w:rPr>
        <w:t>行权日日终，中国结算根据行权数据</w:t>
      </w:r>
      <w:r>
        <w:rPr>
          <w:rFonts w:ascii="Times New Roman" w:hAnsi="Times New Roman" w:eastAsia="仿宋_GB2312"/>
          <w:sz w:val="28"/>
          <w:szCs w:val="28"/>
        </w:rPr>
        <w:t>（</w:t>
      </w:r>
      <w:r>
        <w:rPr>
          <w:rFonts w:hint="default" w:ascii="Times New Roman" w:hAnsi="Times New Roman" w:eastAsia="仿宋_GB2312"/>
          <w:sz w:val="28"/>
          <w:szCs w:val="28"/>
        </w:rPr>
        <w:t>包括非行权指令合并申报数据及有效的行权指令合并申报数据</w:t>
      </w:r>
      <w:r>
        <w:rPr>
          <w:rFonts w:ascii="Times New Roman" w:hAnsi="Times New Roman" w:eastAsia="仿宋_GB2312"/>
          <w:sz w:val="28"/>
          <w:szCs w:val="28"/>
        </w:rPr>
        <w:t>）</w:t>
      </w:r>
      <w:r>
        <w:rPr>
          <w:rFonts w:hint="default" w:ascii="Times New Roman" w:hAnsi="Times New Roman" w:eastAsia="仿宋_GB2312"/>
          <w:sz w:val="28"/>
          <w:szCs w:val="28"/>
        </w:rPr>
        <w:t>，先对行权指令合并申报数据进行处理，再对非行权指令合并申报数据进行处理。若行权指令合并申报数量超过客户可用净头寸，则仅权利仓净头寸部分有效。在完成行权指令合并申报数据的处理后，中国结算根据行权可用权利仓数量，按现有规则对非合并申报的认购、认沽行权数据进行有效性检查。中国结算汇总通过有效性检查的行权指令合并申报及非行权指令合并申报数据，形成有效行权，并按现有规则完成行权指派、行权清算和行权交收等后续业务处理。</w:t>
      </w:r>
    </w:p>
    <w:p w14:paraId="00C3644E">
      <w:pPr>
        <w:widowControl/>
        <w:jc w:val="left"/>
        <w:rPr>
          <w:rFonts w:ascii="Times New Roman" w:hAnsi="Times New Roman" w:eastAsia="黑体"/>
          <w:b/>
          <w:bCs/>
          <w:sz w:val="32"/>
          <w:szCs w:val="32"/>
        </w:rPr>
      </w:pPr>
      <w:bookmarkStart w:id="377" w:name="_Toc452017035"/>
      <w:bookmarkStart w:id="378" w:name="_Toc23947170"/>
      <w:r>
        <w:rPr>
          <w:rFonts w:ascii="Times New Roman" w:hAnsi="Times New Roman" w:eastAsia="黑体"/>
          <w:b/>
          <w:bCs/>
          <w:sz w:val="32"/>
          <w:szCs w:val="32"/>
        </w:rPr>
        <w:br w:type="page"/>
      </w:r>
    </w:p>
    <w:p w14:paraId="75BA0D53">
      <w:pPr>
        <w:spacing w:before="156" w:beforeLines="50" w:after="156" w:afterLines="50"/>
        <w:jc w:val="center"/>
        <w:outlineLvl w:val="0"/>
        <w:rPr>
          <w:rFonts w:hint="eastAsia" w:ascii="Times New Roman" w:hAnsi="Times New Roman" w:eastAsia="黑体"/>
          <w:sz w:val="32"/>
        </w:rPr>
      </w:pPr>
      <w:bookmarkStart w:id="379" w:name="_Toc215740314"/>
      <w:r>
        <w:rPr>
          <w:rFonts w:hint="eastAsia" w:ascii="Times New Roman" w:hAnsi="Times New Roman" w:eastAsia="黑体"/>
          <w:b/>
          <w:bCs/>
          <w:sz w:val="32"/>
          <w:szCs w:val="32"/>
        </w:rPr>
        <w:t>第十章 协议行权</w:t>
      </w:r>
      <w:bookmarkEnd w:id="377"/>
      <w:bookmarkEnd w:id="378"/>
      <w:bookmarkEnd w:id="379"/>
    </w:p>
    <w:p w14:paraId="5249FE8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协议行权是指证券公司与客户通过</w:t>
      </w:r>
      <w:r>
        <w:rPr>
          <w:rFonts w:ascii="Times New Roman" w:hAnsi="Times New Roman" w:eastAsia="仿宋_GB2312"/>
          <w:sz w:val="28"/>
          <w:szCs w:val="28"/>
        </w:rPr>
        <w:t>股票</w:t>
      </w:r>
      <w:r>
        <w:rPr>
          <w:rFonts w:hint="default" w:ascii="Times New Roman" w:hAnsi="Times New Roman" w:eastAsia="仿宋_GB2312"/>
          <w:sz w:val="28"/>
          <w:szCs w:val="28"/>
        </w:rPr>
        <w:t>期权经纪合同约定，证券公司借助系统为客户指定合约设置行权策略，客户在行权日不必再提交行权委托，系统会为指定合约自动提交行权委托的服务。协议行权能够降低客户在行权日忘记行权带来损失的风险。</w:t>
      </w:r>
    </w:p>
    <w:p w14:paraId="7D59AD24">
      <w:pPr>
        <w:ind w:firstLine="560" w:firstLineChars="200"/>
        <w:outlineLvl w:val="1"/>
        <w:rPr>
          <w:rFonts w:ascii="Times New Roman" w:hAnsi="Times New Roman" w:eastAsia="黑体"/>
          <w:sz w:val="28"/>
          <w:szCs w:val="28"/>
        </w:rPr>
      </w:pPr>
      <w:bookmarkStart w:id="380" w:name="_Toc23947171"/>
      <w:bookmarkStart w:id="381" w:name="_Toc215740315"/>
      <w:bookmarkStart w:id="382" w:name="_Toc452017036"/>
      <w:r>
        <w:rPr>
          <w:rFonts w:hint="eastAsia" w:ascii="Times New Roman" w:hAnsi="Times New Roman" w:eastAsia="黑体"/>
          <w:sz w:val="28"/>
          <w:szCs w:val="28"/>
        </w:rPr>
        <w:t>一、协议行权策略</w:t>
      </w:r>
      <w:bookmarkEnd w:id="380"/>
      <w:bookmarkEnd w:id="381"/>
      <w:bookmarkEnd w:id="382"/>
    </w:p>
    <w:p w14:paraId="3B8DE54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证券公司可为客户提供协议行权服务，客户可以自行选择策略和触发条件，以此确定策略</w:t>
      </w:r>
      <w:r>
        <w:rPr>
          <w:rFonts w:ascii="Times New Roman" w:hAnsi="Times New Roman" w:eastAsia="仿宋_GB2312"/>
          <w:sz w:val="28"/>
          <w:szCs w:val="28"/>
        </w:rPr>
        <w:t>阈值</w:t>
      </w:r>
      <w:r>
        <w:rPr>
          <w:rFonts w:hint="default" w:ascii="Times New Roman" w:hAnsi="Times New Roman" w:eastAsia="仿宋_GB2312"/>
          <w:sz w:val="28"/>
          <w:szCs w:val="28"/>
        </w:rPr>
        <w:t>。建议证券公司将协议行权申报委托时间设定在收盘后。</w:t>
      </w:r>
    </w:p>
    <w:p w14:paraId="11A14B07">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以下为协议行权策略举例，仅供参考，证券公司可以根据自身情况制定协议行权策略：</w:t>
      </w:r>
    </w:p>
    <w:p w14:paraId="485DCF02">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实值x元即行权</w:t>
      </w:r>
    </w:p>
    <w:p w14:paraId="3EC5251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认购期权：收盘价-行权价≥策略</w:t>
      </w:r>
      <w:r>
        <w:rPr>
          <w:rFonts w:ascii="Times New Roman" w:hAnsi="Times New Roman" w:eastAsia="仿宋_GB2312"/>
          <w:sz w:val="28"/>
          <w:szCs w:val="28"/>
        </w:rPr>
        <w:t>阈值</w:t>
      </w:r>
    </w:p>
    <w:p w14:paraId="26B79A0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认沽期权：行权价-收盘价≥策略</w:t>
      </w:r>
      <w:r>
        <w:rPr>
          <w:rFonts w:ascii="Times New Roman" w:hAnsi="Times New Roman" w:eastAsia="仿宋_GB2312"/>
          <w:sz w:val="28"/>
          <w:szCs w:val="28"/>
        </w:rPr>
        <w:t>阈值</w:t>
      </w:r>
    </w:p>
    <w:p w14:paraId="6B6531F0">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盈利x元即行权</w:t>
      </w:r>
    </w:p>
    <w:p w14:paraId="676AF15A">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认购期权：收盘价-行权价-折算的单份费用≥策略</w:t>
      </w:r>
      <w:r>
        <w:rPr>
          <w:rFonts w:ascii="Times New Roman" w:hAnsi="Times New Roman" w:eastAsia="仿宋_GB2312"/>
          <w:sz w:val="28"/>
          <w:szCs w:val="28"/>
        </w:rPr>
        <w:t>阈值</w:t>
      </w:r>
    </w:p>
    <w:p w14:paraId="09E9ED2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认沽期权：行权价-收盘价-折算的单份费用≥策略</w:t>
      </w:r>
      <w:r>
        <w:rPr>
          <w:rFonts w:ascii="Times New Roman" w:hAnsi="Times New Roman" w:eastAsia="仿宋_GB2312"/>
          <w:sz w:val="28"/>
          <w:szCs w:val="28"/>
        </w:rPr>
        <w:t>阈值</w:t>
      </w:r>
    </w:p>
    <w:p w14:paraId="684AFD33">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实值百分比即行权</w:t>
      </w:r>
    </w:p>
    <w:p w14:paraId="0BF742A9">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认购期权：（收盘价-行权价）/行权价≥策略</w:t>
      </w:r>
      <w:r>
        <w:rPr>
          <w:rFonts w:ascii="Times New Roman" w:hAnsi="Times New Roman" w:eastAsia="仿宋_GB2312"/>
          <w:sz w:val="28"/>
          <w:szCs w:val="28"/>
        </w:rPr>
        <w:t>阈值</w:t>
      </w:r>
    </w:p>
    <w:p w14:paraId="438C9E55">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认沽期权：（行权价-收盘价）/行权价≥策略</w:t>
      </w:r>
      <w:r>
        <w:rPr>
          <w:rFonts w:ascii="Times New Roman" w:hAnsi="Times New Roman" w:eastAsia="仿宋_GB2312"/>
          <w:sz w:val="28"/>
          <w:szCs w:val="28"/>
        </w:rPr>
        <w:t>阈值</w:t>
      </w:r>
    </w:p>
    <w:p w14:paraId="11D2051F">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盈利百分比即行权</w:t>
      </w:r>
    </w:p>
    <w:p w14:paraId="28EEDB8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认购期权：（收盘价-行权价-折算的单份费用）/（行权价+折算的单份费用）≥策略</w:t>
      </w:r>
      <w:r>
        <w:rPr>
          <w:rFonts w:ascii="Times New Roman" w:hAnsi="Times New Roman" w:eastAsia="仿宋_GB2312"/>
          <w:sz w:val="28"/>
          <w:szCs w:val="28"/>
        </w:rPr>
        <w:t>阈值</w:t>
      </w:r>
    </w:p>
    <w:p w14:paraId="285A0BB2">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认沽期权：（行权价-收盘价-折算的单份费用）/（行权价+折算的单份费用）≥策略</w:t>
      </w:r>
      <w:r>
        <w:rPr>
          <w:rFonts w:ascii="Times New Roman" w:hAnsi="Times New Roman" w:eastAsia="仿宋_GB2312"/>
          <w:sz w:val="28"/>
          <w:szCs w:val="28"/>
        </w:rPr>
        <w:t>阈值</w:t>
      </w:r>
    </w:p>
    <w:p w14:paraId="48E662C2">
      <w:pPr>
        <w:ind w:firstLine="560" w:firstLineChars="200"/>
        <w:outlineLvl w:val="1"/>
        <w:rPr>
          <w:rFonts w:ascii="Times New Roman" w:hAnsi="Times New Roman" w:eastAsia="黑体"/>
          <w:sz w:val="28"/>
          <w:szCs w:val="28"/>
        </w:rPr>
      </w:pPr>
      <w:bookmarkStart w:id="383" w:name="_Toc215740316"/>
      <w:bookmarkStart w:id="384" w:name="_Toc23947172"/>
      <w:bookmarkStart w:id="385" w:name="_Toc452017037"/>
      <w:r>
        <w:rPr>
          <w:rFonts w:hint="eastAsia" w:ascii="Times New Roman" w:hAnsi="Times New Roman" w:eastAsia="黑体"/>
          <w:sz w:val="28"/>
          <w:szCs w:val="28"/>
        </w:rPr>
        <w:t>二、协议行权注意事项</w:t>
      </w:r>
      <w:bookmarkEnd w:id="383"/>
      <w:bookmarkEnd w:id="384"/>
      <w:bookmarkEnd w:id="385"/>
    </w:p>
    <w:p w14:paraId="4995D2D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投资者可以在任意交易日的交易时间设置针对任意合约的协议行权策略，包括没有持仓的合约；也可以设置一条针对所有合约都适用的行权策略。</w:t>
      </w:r>
    </w:p>
    <w:p w14:paraId="6A2EFEA6">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证券公司在经过客户认可后，可以为客户设置默认的协议行权策略，该策略的</w:t>
      </w:r>
      <w:r>
        <w:rPr>
          <w:rFonts w:ascii="Times New Roman" w:hAnsi="Times New Roman" w:eastAsia="仿宋_GB2312"/>
          <w:sz w:val="28"/>
          <w:szCs w:val="28"/>
        </w:rPr>
        <w:t>阈值</w:t>
      </w:r>
      <w:r>
        <w:rPr>
          <w:rFonts w:hint="default" w:ascii="Times New Roman" w:hAnsi="Times New Roman" w:eastAsia="仿宋_GB2312"/>
          <w:sz w:val="28"/>
          <w:szCs w:val="28"/>
        </w:rPr>
        <w:t>由证券公司设定。</w:t>
      </w:r>
    </w:p>
    <w:p w14:paraId="08557F8D">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客户自行设置的协议行权策略优先于证券公司为客户设置的默认协议行权策略。</w:t>
      </w:r>
    </w:p>
    <w:p w14:paraId="32897131">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客户在行权日发出的手动行权委托（即客户在行权日提交的行权委托）优先于协议行权委托。</w:t>
      </w:r>
    </w:p>
    <w:p w14:paraId="694EE29F">
      <w:pPr>
        <w:widowControl/>
        <w:jc w:val="left"/>
        <w:rPr>
          <w:rFonts w:ascii="Times New Roman" w:hAnsi="Times New Roman" w:eastAsia="黑体"/>
          <w:b/>
          <w:bCs/>
          <w:sz w:val="32"/>
          <w:szCs w:val="32"/>
        </w:rPr>
      </w:pPr>
      <w:bookmarkStart w:id="386" w:name="_Toc452017038"/>
      <w:bookmarkStart w:id="387" w:name="_Toc23947173"/>
      <w:r>
        <w:rPr>
          <w:rFonts w:ascii="Times New Roman" w:hAnsi="Times New Roman" w:eastAsia="黑体"/>
          <w:b/>
          <w:bCs/>
          <w:sz w:val="32"/>
          <w:szCs w:val="32"/>
        </w:rPr>
        <w:br w:type="page"/>
      </w:r>
    </w:p>
    <w:p w14:paraId="6E590263">
      <w:pPr>
        <w:spacing w:before="156" w:beforeLines="50" w:after="156" w:afterLines="50"/>
        <w:jc w:val="center"/>
        <w:outlineLvl w:val="0"/>
        <w:rPr>
          <w:rFonts w:hint="eastAsia" w:ascii="Times New Roman" w:hAnsi="Times New Roman" w:eastAsia="黑体"/>
          <w:sz w:val="32"/>
        </w:rPr>
      </w:pPr>
      <w:bookmarkStart w:id="388" w:name="_Toc215740317"/>
      <w:r>
        <w:rPr>
          <w:rFonts w:hint="eastAsia" w:ascii="Times New Roman" w:hAnsi="Times New Roman" w:eastAsia="黑体"/>
          <w:b/>
          <w:bCs/>
          <w:sz w:val="32"/>
          <w:szCs w:val="32"/>
        </w:rPr>
        <w:t>第十一章 客户结算</w:t>
      </w:r>
      <w:bookmarkEnd w:id="386"/>
      <w:bookmarkEnd w:id="387"/>
      <w:bookmarkEnd w:id="388"/>
    </w:p>
    <w:p w14:paraId="375B82DB">
      <w:pPr>
        <w:ind w:firstLine="560" w:firstLineChars="200"/>
        <w:outlineLvl w:val="1"/>
        <w:rPr>
          <w:rFonts w:ascii="Times New Roman" w:hAnsi="Times New Roman" w:eastAsia="黑体"/>
          <w:sz w:val="28"/>
          <w:szCs w:val="28"/>
        </w:rPr>
      </w:pPr>
      <w:bookmarkStart w:id="389" w:name="_Toc23947174"/>
      <w:bookmarkStart w:id="390" w:name="_Toc215740318"/>
      <w:bookmarkStart w:id="391" w:name="_Toc452017039"/>
      <w:r>
        <w:rPr>
          <w:rFonts w:hint="eastAsia" w:ascii="Times New Roman" w:hAnsi="Times New Roman" w:eastAsia="黑体"/>
          <w:sz w:val="28"/>
          <w:szCs w:val="28"/>
        </w:rPr>
        <w:t>一、日常交易清算</w:t>
      </w:r>
      <w:bookmarkEnd w:id="389"/>
      <w:bookmarkEnd w:id="390"/>
      <w:bookmarkEnd w:id="391"/>
    </w:p>
    <w:p w14:paraId="0ED1AA9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T日日终，证券公司根据中国结算发送的数据，对客户进行权利金和合约持仓变更的清算。当日单个客户全部股票期权交易资金清算结果以该客户股票期权保证金账户为单位进行轧差，形成该客户当日交易资金交收净应收/付净额（若T日前一交易日为行权交收日，资金净应收/付净额中包含过户费）。</w:t>
      </w:r>
    </w:p>
    <w:p w14:paraId="3718DF88">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对客户各交易类型清算处理如下：</w:t>
      </w:r>
    </w:p>
    <w:p w14:paraId="796483F3">
      <w:pPr>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买入开仓：增加权利仓头寸，计减权利金；</w:t>
      </w:r>
    </w:p>
    <w:p w14:paraId="6951B7F2">
      <w:pPr>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卖出平仓：减少权利仓头寸，计增权利金；</w:t>
      </w:r>
    </w:p>
    <w:p w14:paraId="7B2AF968">
      <w:pPr>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w:t>
      </w:r>
      <w:r>
        <w:rPr>
          <w:rFonts w:hint="default" w:ascii="Times New Roman" w:hAnsi="Times New Roman" w:eastAsia="仿宋_GB2312"/>
          <w:sz w:val="28"/>
          <w:szCs w:val="28"/>
        </w:rPr>
        <w:t>卖出开仓：增加义务仓头寸，计减保证金</w:t>
      </w:r>
      <w:r>
        <w:rPr>
          <w:rFonts w:hint="eastAsia" w:ascii="仿宋_GB2312" w:eastAsia="仿宋_GB2312"/>
          <w:color w:val="000000"/>
          <w:sz w:val="28"/>
          <w:szCs w:val="28"/>
          <w:lang w:eastAsia="zh-CN"/>
        </w:rPr>
        <w:t>（，</w:t>
      </w:r>
      <w:r>
        <w:rPr>
          <w:rFonts w:hint="eastAsia" w:ascii="仿宋_GB2312" w:eastAsia="仿宋_GB2312"/>
          <w:color w:val="000000"/>
          <w:sz w:val="28"/>
          <w:szCs w:val="28"/>
        </w:rPr>
        <w:t>计减</w:t>
      </w:r>
      <w:r>
        <w:rPr>
          <w:rFonts w:hint="eastAsia" w:ascii="仿宋_GB2312" w:eastAsia="仿宋_GB2312"/>
          <w:color w:val="000000"/>
          <w:sz w:val="28"/>
          <w:szCs w:val="28"/>
          <w:lang w:val="en-US" w:eastAsia="zh-CN"/>
        </w:rPr>
        <w:t>可用</w:t>
      </w:r>
      <w:r>
        <w:rPr>
          <w:rFonts w:hint="eastAsia" w:ascii="仿宋_GB2312" w:eastAsia="仿宋_GB2312"/>
          <w:color w:val="000000"/>
          <w:sz w:val="28"/>
          <w:szCs w:val="28"/>
        </w:rPr>
        <w:t>保证金</w:t>
      </w:r>
      <w:r>
        <w:rPr>
          <w:rFonts w:hint="eastAsia" w:ascii="仿宋_GB2312" w:eastAsia="仿宋_GB2312"/>
          <w:color w:val="000000"/>
          <w:sz w:val="28"/>
          <w:szCs w:val="28"/>
          <w:lang w:val="en-US" w:eastAsia="zh-CN"/>
        </w:rPr>
        <w:t>）</w:t>
      </w:r>
      <w:r>
        <w:rPr>
          <w:rFonts w:hint="default" w:ascii="Times New Roman" w:hAnsi="Times New Roman" w:eastAsia="仿宋_GB2312"/>
          <w:sz w:val="28"/>
          <w:szCs w:val="28"/>
        </w:rPr>
        <w:t>；</w:t>
      </w:r>
    </w:p>
    <w:p w14:paraId="19862F90">
      <w:pPr>
        <w:ind w:firstLine="560" w:firstLineChars="200"/>
        <w:rPr>
          <w:rFonts w:ascii="Times New Roman" w:hAnsi="Times New Roman" w:eastAsia="仿宋_GB2312"/>
          <w:sz w:val="28"/>
          <w:szCs w:val="28"/>
        </w:rPr>
      </w:pPr>
      <w:r>
        <w:rPr>
          <w:rFonts w:hint="eastAsia" w:ascii="Times New Roman" w:hAnsi="Times New Roman" w:eastAsia="仿宋_GB2312" w:cs="Times New Roman"/>
          <w:sz w:val="28"/>
          <w:szCs w:val="28"/>
        </w:rPr>
        <w:t>4.</w:t>
      </w:r>
      <w:r>
        <w:rPr>
          <w:rFonts w:hint="default" w:ascii="Times New Roman" w:hAnsi="Times New Roman" w:eastAsia="仿宋_GB2312"/>
          <w:sz w:val="28"/>
          <w:szCs w:val="28"/>
        </w:rPr>
        <w:t>买入平仓：减少义务仓头寸，计增保证金</w:t>
      </w:r>
      <w:r>
        <w:rPr>
          <w:rFonts w:hint="eastAsia" w:ascii="仿宋_GB2312" w:eastAsia="仿宋_GB2312"/>
          <w:color w:val="000000"/>
          <w:sz w:val="28"/>
          <w:szCs w:val="28"/>
          <w:lang w:eastAsia="zh-CN"/>
        </w:rPr>
        <w:t>，（</w:t>
      </w:r>
      <w:r>
        <w:rPr>
          <w:rFonts w:hint="eastAsia" w:ascii="仿宋_GB2312" w:eastAsia="仿宋_GB2312"/>
          <w:color w:val="000000"/>
          <w:sz w:val="28"/>
          <w:szCs w:val="28"/>
        </w:rPr>
        <w:t>计增</w:t>
      </w:r>
      <w:r>
        <w:rPr>
          <w:rFonts w:hint="eastAsia" w:ascii="仿宋_GB2312" w:eastAsia="仿宋_GB2312"/>
          <w:color w:val="000000"/>
          <w:sz w:val="28"/>
          <w:szCs w:val="28"/>
          <w:lang w:val="en-US" w:eastAsia="zh-CN"/>
        </w:rPr>
        <w:t>可用</w:t>
      </w:r>
      <w:r>
        <w:rPr>
          <w:rFonts w:hint="eastAsia" w:ascii="仿宋_GB2312" w:eastAsia="仿宋_GB2312"/>
          <w:color w:val="000000"/>
          <w:sz w:val="28"/>
          <w:szCs w:val="28"/>
        </w:rPr>
        <w:t>保证金</w:t>
      </w:r>
      <w:r>
        <w:rPr>
          <w:rFonts w:hint="eastAsia" w:ascii="仿宋_GB2312" w:eastAsia="仿宋_GB2312"/>
          <w:color w:val="000000"/>
          <w:sz w:val="28"/>
          <w:szCs w:val="28"/>
          <w:lang w:eastAsia="zh-CN"/>
        </w:rPr>
        <w:t>）</w:t>
      </w:r>
      <w:r>
        <w:rPr>
          <w:rFonts w:hint="default" w:ascii="Times New Roman" w:hAnsi="Times New Roman" w:eastAsia="仿宋_GB2312"/>
          <w:sz w:val="28"/>
          <w:szCs w:val="28"/>
        </w:rPr>
        <w:t>；</w:t>
      </w:r>
    </w:p>
    <w:p w14:paraId="2E4A0E19">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hint="default" w:ascii="Times New Roman" w:hAnsi="Times New Roman" w:eastAsia="仿宋_GB2312"/>
          <w:sz w:val="28"/>
          <w:szCs w:val="28"/>
        </w:rPr>
        <w:t>备兑开仓：增加义务仓头寸，锁定标的证券，计增权利金；</w:t>
      </w:r>
    </w:p>
    <w:p w14:paraId="245E9F48">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hint="default" w:ascii="Times New Roman" w:hAnsi="Times New Roman" w:eastAsia="仿宋_GB2312"/>
          <w:sz w:val="28"/>
          <w:szCs w:val="28"/>
        </w:rPr>
        <w:t>备兑平仓：减少义务仓头寸，解锁标的证券，计减权利金。</w:t>
      </w:r>
    </w:p>
    <w:p w14:paraId="6B7A94B2">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在交易时段，证券公司客户可对同一</w:t>
      </w:r>
      <w:r>
        <w:rPr>
          <w:rFonts w:ascii="Times New Roman" w:hAnsi="Times New Roman" w:eastAsia="仿宋_GB2312"/>
          <w:sz w:val="28"/>
          <w:szCs w:val="28"/>
        </w:rPr>
        <w:t>股票</w:t>
      </w:r>
      <w:r>
        <w:rPr>
          <w:rFonts w:hint="default" w:ascii="Times New Roman" w:hAnsi="Times New Roman" w:eastAsia="仿宋_GB2312"/>
          <w:sz w:val="28"/>
          <w:szCs w:val="28"/>
        </w:rPr>
        <w:t>期权合约进行双向持仓（可同时持有权利仓与义务仓）。日终清算时，证券公司应对客户的双向头寸自动进行对冲（取净头寸，优先对冲非备兑义务仓，组合策略持仓除外），并调整为单向持仓，并按单向持仓计收维持保证金。</w:t>
      </w:r>
    </w:p>
    <w:p w14:paraId="60200EA4">
      <w:pPr>
        <w:ind w:firstLine="560" w:firstLineChars="200"/>
        <w:outlineLvl w:val="1"/>
        <w:rPr>
          <w:rFonts w:ascii="Times New Roman" w:hAnsi="Times New Roman" w:eastAsia="黑体"/>
          <w:sz w:val="28"/>
          <w:szCs w:val="28"/>
        </w:rPr>
      </w:pPr>
      <w:bookmarkStart w:id="392" w:name="_Toc215740319"/>
      <w:bookmarkStart w:id="393" w:name="_Toc23947175"/>
      <w:bookmarkStart w:id="394" w:name="_Toc452017040"/>
      <w:r>
        <w:rPr>
          <w:rFonts w:hint="eastAsia" w:ascii="Times New Roman" w:hAnsi="Times New Roman" w:eastAsia="黑体"/>
          <w:sz w:val="28"/>
          <w:szCs w:val="28"/>
        </w:rPr>
        <w:t>二、清算后数据对账</w:t>
      </w:r>
      <w:bookmarkEnd w:id="392"/>
      <w:bookmarkEnd w:id="393"/>
      <w:bookmarkEnd w:id="394"/>
    </w:p>
    <w:p w14:paraId="0EFB90F9">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（一）合约与证券对账</w:t>
      </w:r>
    </w:p>
    <w:p w14:paraId="78306820">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1.合约对账：证券公司</w:t>
      </w:r>
      <w:r>
        <w:rPr>
          <w:rFonts w:ascii="Times New Roman" w:hAnsi="Times New Roman" w:eastAsia="仿宋_GB2312"/>
          <w:sz w:val="28"/>
          <w:szCs w:val="28"/>
        </w:rPr>
        <w:t>股票</w:t>
      </w:r>
      <w:r>
        <w:rPr>
          <w:rFonts w:hint="default" w:ascii="Times New Roman" w:hAnsi="Times New Roman" w:eastAsia="仿宋_GB2312"/>
          <w:sz w:val="28"/>
          <w:szCs w:val="28"/>
        </w:rPr>
        <w:t>期权柜台系统完成交收后，将系统内客户合约持仓数据与根据本所交易记录生成的客户合约持仓数据进行对账，不平时需及时分析其原因，并做后续处理。</w:t>
      </w:r>
    </w:p>
    <w:p w14:paraId="64CAD01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标的证券对账：证券公司的备兑证券由证券交易经纪业务柜台系统进行管理。该系统完成交收后，证券公司将该系统标的证券持仓数据与中国结算上海分公司发送的股份余额数据进行对账，不平时需及时分析其原因，并做后续处理。</w:t>
      </w:r>
    </w:p>
    <w:p w14:paraId="61DD996A">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（二）资金对账</w:t>
      </w:r>
    </w:p>
    <w:p w14:paraId="3206A95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1.银行头寸账实核对：每日清算完成后，证券公司将法人结算系统的</w:t>
      </w:r>
      <w:r>
        <w:rPr>
          <w:rFonts w:ascii="Times New Roman" w:hAnsi="Times New Roman" w:eastAsia="仿宋_GB2312"/>
          <w:sz w:val="28"/>
          <w:szCs w:val="28"/>
        </w:rPr>
        <w:t>股票</w:t>
      </w:r>
      <w:r>
        <w:rPr>
          <w:rFonts w:hint="default" w:ascii="Times New Roman" w:hAnsi="Times New Roman" w:eastAsia="仿宋_GB2312"/>
          <w:sz w:val="28"/>
          <w:szCs w:val="28"/>
        </w:rPr>
        <w:t>期权银行簿记余额与银行实头寸核对，不平时需及时分析其原因，并做后续处理。</w:t>
      </w:r>
    </w:p>
    <w:p w14:paraId="6E36F5C6">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中国结算保证金头寸账实核对：每日清算完成后，证券公司将法人结算系统的中国结算上海分公司股票期权保证金簿记余额与中国结算上海分公司的股票期权保证金账户的实头寸核对，做到账实相符，不平时需及时分析其原因，并做后续处理。</w:t>
      </w:r>
    </w:p>
    <w:p w14:paraId="059A59FD">
      <w:pPr>
        <w:ind w:firstLine="560" w:firstLineChars="200"/>
        <w:outlineLvl w:val="1"/>
        <w:rPr>
          <w:rFonts w:ascii="Times New Roman" w:hAnsi="Times New Roman" w:eastAsia="黑体"/>
          <w:sz w:val="28"/>
          <w:szCs w:val="28"/>
        </w:rPr>
      </w:pPr>
      <w:bookmarkStart w:id="395" w:name="_Toc215740320"/>
      <w:bookmarkStart w:id="396" w:name="_Toc23947176"/>
      <w:bookmarkStart w:id="397" w:name="_Toc452017041"/>
      <w:r>
        <w:rPr>
          <w:rFonts w:hint="eastAsia" w:ascii="Times New Roman" w:hAnsi="Times New Roman" w:eastAsia="黑体"/>
          <w:sz w:val="28"/>
          <w:szCs w:val="28"/>
        </w:rPr>
        <w:t>三、日常交易交收</w:t>
      </w:r>
      <w:bookmarkEnd w:id="395"/>
      <w:bookmarkEnd w:id="396"/>
      <w:bookmarkEnd w:id="397"/>
    </w:p>
    <w:p w14:paraId="08DE3F83">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T日日终，证券公司根据柜台系统清算结果，首先释放每个客户股票期权保证金账户内未平仓合约的维持保证金</w:t>
      </w:r>
      <w:r>
        <w:rPr>
          <w:rFonts w:ascii="Times New Roman" w:hAnsi="Times New Roman" w:eastAsia="仿宋_GB2312"/>
          <w:sz w:val="28"/>
          <w:szCs w:val="28"/>
        </w:rPr>
        <w:t>，</w:t>
      </w:r>
      <w:r>
        <w:rPr>
          <w:rFonts w:hint="eastAsia" w:ascii="Times New Roman" w:hAnsi="Times New Roman" w:eastAsia="仿宋_GB2312"/>
          <w:sz w:val="28"/>
          <w:szCs w:val="28"/>
        </w:rPr>
        <w:t>再以单个客户股票期权保证金账户为单位根据资金净应收/付金额完成股票期权交易的资金交收，相应增加或减少客户股票期权保证金账户的资金余额，相应增加或减少客户衍生品合约账户的合约持仓，相应冻结或解冻客户备兑开平仓对应的标的证券</w:t>
      </w:r>
      <w:r>
        <w:rPr>
          <w:rFonts w:ascii="Times New Roman" w:hAnsi="Times New Roman" w:eastAsia="仿宋_GB2312"/>
          <w:sz w:val="28"/>
          <w:szCs w:val="28"/>
        </w:rPr>
        <w:t>，</w:t>
      </w:r>
      <w:r>
        <w:rPr>
          <w:rFonts w:hint="eastAsia" w:ascii="Times New Roman" w:hAnsi="Times New Roman" w:eastAsia="仿宋_GB2312"/>
          <w:sz w:val="28"/>
          <w:szCs w:val="28"/>
        </w:rPr>
        <w:t>再根据当日结算价重新冻结维持保证金。处于锁定状态的备兑备用证券，当日未用于备兑开仓的，当日18：00后（以系统实际处理时间为准）自动解除锁定。</w:t>
      </w:r>
    </w:p>
    <w:p w14:paraId="0CFFAF0E">
      <w:pPr>
        <w:widowControl w:val="0"/>
        <w:ind w:firstLine="560" w:firstLineChars="200"/>
        <w:jc w:val="both"/>
        <w:rPr>
          <w:rFonts w:ascii="Times New Roman" w:hAnsi="Times New Roman" w:eastAsia="仿宋_GB2312"/>
          <w:sz w:val="28"/>
          <w:szCs w:val="28"/>
        </w:rPr>
      </w:pPr>
      <w:r>
        <w:rPr>
          <w:rFonts w:hint="default" w:ascii="Times New Roman" w:hAnsi="Times New Roman" w:eastAsia="仿宋_GB2312" w:cs="Times New Roman"/>
          <w:sz w:val="28"/>
          <w:szCs w:val="28"/>
        </w:rPr>
        <w:t>结算的具体内容，详见中国结算发布的《</w:t>
      </w:r>
      <w:r>
        <w:rPr>
          <w:rFonts w:hint="default" w:ascii="Times New Roman" w:hAnsi="Times New Roman" w:eastAsia="仿宋_GB2312"/>
          <w:sz w:val="28"/>
          <w:szCs w:val="28"/>
        </w:rPr>
        <w:t>中国证券登记结算有限责任公司关于上海证券交易所股票期权试点结算规则</w:t>
      </w:r>
      <w:r>
        <w:rPr>
          <w:rFonts w:hint="default" w:ascii="Times New Roman" w:hAnsi="Times New Roman" w:eastAsia="仿宋_GB2312" w:cs="Times New Roman"/>
          <w:sz w:val="28"/>
          <w:szCs w:val="28"/>
        </w:rPr>
        <w:t>》。</w:t>
      </w:r>
      <w:r>
        <w:rPr>
          <w:rFonts w:ascii="Times New Roman" w:hAnsi="Times New Roman" w:eastAsia="仿宋_GB2312"/>
          <w:sz w:val="28"/>
          <w:szCs w:val="28"/>
        </w:rPr>
        <w:br w:type="page"/>
      </w:r>
    </w:p>
    <w:p w14:paraId="7EBDD96E">
      <w:pPr>
        <w:spacing w:before="156" w:beforeLines="50" w:after="156" w:afterLines="50"/>
        <w:jc w:val="center"/>
        <w:outlineLvl w:val="0"/>
        <w:rPr>
          <w:rFonts w:hint="eastAsia" w:ascii="Times New Roman" w:hAnsi="Times New Roman" w:eastAsia="黑体"/>
          <w:b/>
          <w:bCs/>
          <w:sz w:val="32"/>
          <w:szCs w:val="32"/>
        </w:rPr>
      </w:pPr>
      <w:bookmarkStart w:id="398" w:name="_Toc16063"/>
      <w:bookmarkStart w:id="399" w:name="_Toc215740321"/>
      <w:bookmarkStart w:id="400" w:name="_Toc4174"/>
      <w:bookmarkStart w:id="401" w:name="_Toc20391"/>
      <w:bookmarkStart w:id="402" w:name="_Toc408665053"/>
      <w:bookmarkStart w:id="403" w:name="_Toc23947177"/>
      <w:bookmarkStart w:id="404" w:name="_Toc452017042"/>
      <w:bookmarkStart w:id="405" w:name="第十章投资者数据报备"/>
      <w:r>
        <w:rPr>
          <w:rFonts w:hint="eastAsia" w:ascii="Times New Roman" w:hAnsi="Times New Roman" w:eastAsia="黑体"/>
          <w:b/>
          <w:bCs/>
          <w:sz w:val="32"/>
          <w:szCs w:val="32"/>
        </w:rPr>
        <w:t>第十二章 投资者数据报备</w:t>
      </w:r>
      <w:bookmarkEnd w:id="398"/>
      <w:bookmarkEnd w:id="399"/>
      <w:bookmarkEnd w:id="400"/>
      <w:bookmarkEnd w:id="401"/>
      <w:bookmarkEnd w:id="402"/>
      <w:bookmarkEnd w:id="403"/>
      <w:bookmarkEnd w:id="404"/>
      <w:bookmarkEnd w:id="405"/>
    </w:p>
    <w:p w14:paraId="0F400E83">
      <w:p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证券公司应在每个交易日16:30之前（当日收盘之后）向本所报备所有客户（全量，仅经纪业务，不含自营业务）相关信息，包括可买入额度、资金相关信息（主要用于</w:t>
      </w:r>
      <w:r>
        <w:rPr>
          <w:rFonts w:hint="default" w:ascii="Times New Roman" w:hAnsi="Times New Roman" w:eastAsia="仿宋_GB2312"/>
          <w:sz w:val="28"/>
          <w:szCs w:val="28"/>
        </w:rPr>
        <w:t>本所</w:t>
      </w:r>
      <w:r>
        <w:rPr>
          <w:rFonts w:hint="default" w:ascii="Times New Roman" w:hAnsi="Times New Roman" w:eastAsia="仿宋_GB2312"/>
          <w:kern w:val="2"/>
          <w:sz w:val="28"/>
          <w:szCs w:val="28"/>
          <w:lang w:val="en-US"/>
        </w:rPr>
        <w:t>风险控制需要，包括风险压力测试等）等。</w:t>
      </w:r>
    </w:p>
    <w:p w14:paraId="51EA2713">
      <w:p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数据报备内容：日期、期权经营机构代码、期权经营机构名称、业务交易单元号、营业部代码、合约账户、对应沪市证券账户、对应沪市E账户、当日衍生品资金账户保证金总额（结算前数据）、当日资金划入划出净额（日间转账数据）、上一交易日衍生品可用保证金余额、上一交易日沪市衍生品维持保证金金额（按期权经营机构保证金水平计算的）、上一交易日衍生品合约市值权益（含沪深）、上一交易日证券市值总额（不含港股通、B股外的所有证券市值，持有证券按收盘价计算）、上一交易日证券资金账户可用资金余额（所有人民币资金）、上一交易日融资融券账户证券总市值（含沪深</w:t>
      </w:r>
      <w:r>
        <w:rPr>
          <w:rFonts w:ascii="Times New Roman" w:hAnsi="Times New Roman" w:eastAsia="仿宋_GB2312"/>
          <w:kern w:val="2"/>
          <w:sz w:val="28"/>
          <w:szCs w:val="28"/>
          <w:lang w:val="en-US"/>
        </w:rPr>
        <w:t>，</w:t>
      </w:r>
      <w:r>
        <w:rPr>
          <w:rFonts w:hint="default" w:ascii="Times New Roman" w:hAnsi="Times New Roman" w:eastAsia="仿宋_GB2312"/>
          <w:kern w:val="2"/>
          <w:sz w:val="28"/>
          <w:szCs w:val="28"/>
          <w:lang w:val="en-US"/>
        </w:rPr>
        <w:t>持有证券按收盘价计算）、上一交易日融资融券账户资金总额、上一交易日融资融券账户融入资金总额、上一交易日融资融券账户融券总市值（含沪深</w:t>
      </w:r>
      <w:r>
        <w:rPr>
          <w:rFonts w:ascii="Times New Roman" w:hAnsi="Times New Roman" w:eastAsia="仿宋_GB2312"/>
          <w:kern w:val="2"/>
          <w:sz w:val="28"/>
          <w:szCs w:val="28"/>
          <w:lang w:val="en-US"/>
        </w:rPr>
        <w:t>，</w:t>
      </w:r>
      <w:r>
        <w:rPr>
          <w:rFonts w:hint="default" w:ascii="Times New Roman" w:hAnsi="Times New Roman" w:eastAsia="仿宋_GB2312"/>
          <w:kern w:val="2"/>
          <w:sz w:val="28"/>
          <w:szCs w:val="28"/>
          <w:lang w:val="en-US"/>
        </w:rPr>
        <w:t>持有证券按收盘价计算）、当日分级级别（自然人账户需填写）、当日可买入额度。上一交易日是指结算后的相关数据。具体见相关技术接口说明书。</w:t>
      </w:r>
    </w:p>
    <w:p w14:paraId="371B50C4">
      <w:p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相关指标计算公式如下：</w:t>
      </w:r>
    </w:p>
    <w:p w14:paraId="5B1D063E">
      <w:p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1.当日资金划入划出净额=当日总资金划入金额-当日总资金划出金额。</w:t>
      </w:r>
    </w:p>
    <w:p w14:paraId="61228518">
      <w:p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涉及多家银行的应合并计算。</w:t>
      </w:r>
    </w:p>
    <w:p w14:paraId="0392D9BA">
      <w:pPr>
        <w:numPr>
          <w:ilvl w:val="0"/>
          <w:numId w:val="0"/>
        </w:numPr>
        <w:ind w:firstLine="560" w:firstLineChars="200"/>
        <w:rPr>
          <w:rFonts w:ascii="Times New Roman" w:hAnsi="Times New Roman" w:eastAsia="仿宋_GB2312"/>
          <w:kern w:val="2"/>
          <w:sz w:val="28"/>
          <w:szCs w:val="28"/>
          <w:lang w:val="en-US"/>
        </w:rPr>
      </w:pPr>
      <w:r>
        <w:rPr>
          <w:rFonts w:hint="default" w:ascii="Times New Roman" w:hAnsi="Times New Roman" w:eastAsia="仿宋_GB2312"/>
          <w:kern w:val="2"/>
          <w:sz w:val="28"/>
          <w:szCs w:val="28"/>
          <w:lang w:val="en-US"/>
        </w:rPr>
        <w:t>衍生品合约市值权益=∑（当日合约结算价</w:t>
      </w:r>
      <w:r>
        <w:rPr>
          <w:rFonts w:ascii="Times New Roman" w:hAnsi="Times New Roman" w:eastAsia="仿宋_GB2312"/>
          <w:sz w:val="28"/>
          <w:szCs w:val="28"/>
        </w:rPr>
        <w:t>×</w:t>
      </w:r>
      <w:r>
        <w:rPr>
          <w:rFonts w:hint="default" w:ascii="Times New Roman" w:hAnsi="Times New Roman" w:eastAsia="仿宋_GB2312"/>
          <w:kern w:val="2"/>
          <w:sz w:val="28"/>
          <w:szCs w:val="28"/>
          <w:lang w:val="en-US"/>
        </w:rPr>
        <w:t>权利仓张数</w:t>
      </w:r>
      <w:r>
        <w:rPr>
          <w:rFonts w:ascii="Times New Roman" w:hAnsi="Times New Roman" w:eastAsia="仿宋_GB2312"/>
          <w:sz w:val="28"/>
          <w:szCs w:val="28"/>
        </w:rPr>
        <w:t>×</w:t>
      </w:r>
      <w:r>
        <w:rPr>
          <w:rFonts w:hint="default" w:ascii="Times New Roman" w:hAnsi="Times New Roman" w:eastAsia="仿宋_GB2312"/>
          <w:kern w:val="2"/>
          <w:sz w:val="28"/>
          <w:szCs w:val="28"/>
          <w:lang w:val="en-US"/>
        </w:rPr>
        <w:t>合约单位）-∑（当日合约结算价</w:t>
      </w:r>
      <w:r>
        <w:rPr>
          <w:rFonts w:ascii="Times New Roman" w:hAnsi="Times New Roman" w:eastAsia="仿宋_GB2312"/>
          <w:sz w:val="28"/>
          <w:szCs w:val="28"/>
        </w:rPr>
        <w:t>×</w:t>
      </w:r>
      <w:r>
        <w:rPr>
          <w:rFonts w:hint="default" w:ascii="Times New Roman" w:hAnsi="Times New Roman" w:eastAsia="仿宋_GB2312"/>
          <w:kern w:val="2"/>
          <w:sz w:val="28"/>
          <w:szCs w:val="28"/>
          <w:lang w:val="en-US"/>
        </w:rPr>
        <w:t>义务仓张数（含备兑）</w:t>
      </w:r>
      <w:r>
        <w:rPr>
          <w:rFonts w:ascii="Times New Roman" w:hAnsi="Times New Roman" w:eastAsia="仿宋_GB2312"/>
          <w:sz w:val="28"/>
          <w:szCs w:val="28"/>
        </w:rPr>
        <w:t>×</w:t>
      </w:r>
      <w:r>
        <w:rPr>
          <w:rFonts w:hint="default" w:ascii="Times New Roman" w:hAnsi="Times New Roman" w:eastAsia="仿宋_GB2312"/>
          <w:kern w:val="2"/>
          <w:sz w:val="28"/>
          <w:szCs w:val="28"/>
          <w:lang w:val="en-US"/>
        </w:rPr>
        <w:t>合约单位）。按所持有合约汇总。单位：元，保留两位小数。</w:t>
      </w:r>
    </w:p>
    <w:p w14:paraId="761331EF">
      <w:pPr>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期权经营机构务必保证报备的营业部代码与每日日终投资者数据报备文件中的营业部代码保持一致。如需要调整营业部代码，请通过邮箱重新报备（全量）数据。</w:t>
      </w:r>
    </w:p>
    <w:p w14:paraId="74F3CCD8">
      <w:pPr>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 xml:space="preserve">联系邮箱： </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HYPERLINK "mailto:Riskdispose01@sse.com.cn"</w:instrText>
      </w:r>
      <w:r>
        <w:rPr>
          <w:rFonts w:ascii="Times New Roman" w:hAnsi="Times New Roman" w:eastAsia="仿宋_GB2312"/>
          <w:sz w:val="28"/>
          <w:szCs w:val="28"/>
        </w:rPr>
        <w:fldChar w:fldCharType="separate"/>
      </w:r>
      <w:r>
        <w:rPr>
          <w:rFonts w:hint="eastAsia" w:ascii="Times New Roman" w:hAnsi="Times New Roman" w:eastAsia="仿宋_GB2312"/>
          <w:sz w:val="28"/>
          <w:szCs w:val="28"/>
          <w:lang w:val="en-US" w:eastAsia="zh-CN"/>
        </w:rPr>
        <w:t>r</w:t>
      </w:r>
      <w:r>
        <w:rPr>
          <w:rFonts w:hint="default" w:ascii="Times New Roman" w:hAnsi="Times New Roman" w:eastAsia="仿宋_GB2312"/>
          <w:sz w:val="28"/>
          <w:szCs w:val="28"/>
        </w:rPr>
        <w:t>iskdispose01@sse.com.cn</w:t>
      </w:r>
      <w:r>
        <w:rPr>
          <w:rFonts w:ascii="Times New Roman" w:hAnsi="Times New Roman" w:eastAsia="仿宋_GB2312"/>
          <w:sz w:val="28"/>
          <w:szCs w:val="28"/>
        </w:rPr>
        <w:fldChar w:fldCharType="end"/>
      </w:r>
      <w:r>
        <w:rPr>
          <w:rFonts w:hint="default" w:ascii="Times New Roman" w:hAnsi="Times New Roman" w:eastAsia="仿宋_GB2312" w:cs="Times New Roman"/>
          <w:kern w:val="2"/>
          <w:sz w:val="28"/>
          <w:szCs w:val="28"/>
        </w:rPr>
        <w:t>。</w:t>
      </w:r>
    </w:p>
    <w:p w14:paraId="70DB1FA3">
      <w:pPr>
        <w:ind w:firstLine="560" w:firstLineChars="200"/>
        <w:rPr>
          <w:rFonts w:ascii="Times New Roman" w:hAnsi="Times New Roman" w:eastAsia="仿宋_GB2312"/>
          <w:kern w:val="2"/>
          <w:sz w:val="28"/>
          <w:szCs w:val="28"/>
        </w:rPr>
      </w:pPr>
      <w:r>
        <w:rPr>
          <w:rFonts w:hint="default" w:ascii="Times New Roman" w:hAnsi="Times New Roman" w:eastAsia="仿宋_GB2312" w:cs="Times New Roman"/>
          <w:kern w:val="2"/>
          <w:sz w:val="28"/>
          <w:szCs w:val="28"/>
        </w:rPr>
        <w:t>期权经营机构需加强对每日日终投资者数据文件报送的管理，确保报送数据的及时性和准确性。本所将定期对报送文件进行核查，若发现有错报或漏报的情况，将视情况采取相关的监管措施。</w:t>
      </w:r>
    </w:p>
    <w:p w14:paraId="591818DA">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此外，证券公司每周一17:00前通过一网通办会员机构门户向本所报备持仓限额情况。</w:t>
      </w:r>
    </w:p>
    <w:p w14:paraId="5581A5AF">
      <w:pPr>
        <w:widowControl/>
        <w:jc w:val="left"/>
        <w:rPr>
          <w:rFonts w:ascii="Times New Roman" w:hAnsi="Times New Roman" w:eastAsia="仿宋_GB2312"/>
          <w:kern w:val="0"/>
          <w:sz w:val="28"/>
          <w:szCs w:val="28"/>
          <w:lang w:val="zh-CN"/>
        </w:rPr>
      </w:pPr>
      <w:bookmarkStart w:id="406" w:name="_Toc23947178"/>
      <w:bookmarkStart w:id="407" w:name="_Toc30794"/>
      <w:bookmarkStart w:id="408" w:name="第十一章程序交易报备"/>
      <w:bookmarkStart w:id="409" w:name="_Toc29570"/>
      <w:bookmarkStart w:id="410" w:name="_Toc408665054"/>
      <w:bookmarkStart w:id="411" w:name="_Toc689"/>
      <w:bookmarkStart w:id="412" w:name="_Toc452017043"/>
      <w:r>
        <w:rPr>
          <w:rFonts w:ascii="Times New Roman" w:hAnsi="Times New Roman" w:eastAsia="仿宋_GB2312"/>
          <w:kern w:val="0"/>
          <w:sz w:val="28"/>
          <w:szCs w:val="28"/>
          <w:lang w:val="zh-CN"/>
        </w:rPr>
        <w:br w:type="page"/>
      </w:r>
    </w:p>
    <w:p w14:paraId="6C8382BA">
      <w:pPr>
        <w:spacing w:before="156" w:beforeLines="50" w:after="156" w:afterLines="50"/>
        <w:jc w:val="center"/>
        <w:outlineLvl w:val="0"/>
        <w:rPr>
          <w:rFonts w:ascii="Times New Roman" w:hAnsi="Times New Roman" w:eastAsia="仿宋_GB2312"/>
          <w:b/>
          <w:bCs/>
          <w:sz w:val="28"/>
          <w:szCs w:val="28"/>
        </w:rPr>
      </w:pPr>
      <w:bookmarkStart w:id="413" w:name="_Toc215740322"/>
      <w:r>
        <w:rPr>
          <w:rStyle w:val="46"/>
          <w:rFonts w:hint="default" w:ascii="Times New Roman" w:hAnsi="Times New Roman" w:eastAsia="黑体"/>
          <w:sz w:val="32"/>
        </w:rPr>
        <w:t>第十三章 程序</w:t>
      </w:r>
      <w:r>
        <w:rPr>
          <w:rStyle w:val="46"/>
          <w:rFonts w:hint="eastAsia" w:ascii="Times New Roman" w:hAnsi="Times New Roman" w:eastAsia="黑体"/>
          <w:sz w:val="32"/>
          <w:lang w:val="en-US" w:eastAsia="zh-CN"/>
        </w:rPr>
        <w:t>化</w:t>
      </w:r>
      <w:r>
        <w:rPr>
          <w:rStyle w:val="46"/>
          <w:rFonts w:hint="default" w:ascii="Times New Roman" w:hAnsi="Times New Roman" w:eastAsia="黑体"/>
          <w:sz w:val="32"/>
        </w:rPr>
        <w:t>交易报</w:t>
      </w:r>
      <w:r>
        <w:rPr>
          <w:rStyle w:val="46"/>
          <w:rFonts w:hint="eastAsia" w:ascii="Times New Roman" w:hAnsi="Times New Roman" w:eastAsia="黑体"/>
          <w:sz w:val="32"/>
          <w:lang w:val="en-US" w:eastAsia="zh-CN"/>
        </w:rPr>
        <w:t>告</w:t>
      </w:r>
      <w:bookmarkEnd w:id="406"/>
      <w:bookmarkEnd w:id="407"/>
      <w:bookmarkEnd w:id="408"/>
      <w:bookmarkEnd w:id="409"/>
      <w:bookmarkEnd w:id="410"/>
      <w:bookmarkEnd w:id="411"/>
      <w:bookmarkEnd w:id="412"/>
      <w:bookmarkEnd w:id="413"/>
    </w:p>
    <w:p w14:paraId="24943536">
      <w:pPr>
        <w:spacing w:before="0" w:after="0"/>
        <w:ind w:firstLine="560" w:firstLineChars="200"/>
        <w:rPr>
          <w:rFonts w:ascii="Times New Roman" w:hAnsi="Times New Roman" w:eastAsia="仿宋_GB2312"/>
          <w:kern w:val="2"/>
          <w:sz w:val="28"/>
          <w:szCs w:val="28"/>
        </w:rPr>
      </w:pPr>
      <w:r>
        <w:rPr>
          <w:rFonts w:hint="default" w:ascii="Times New Roman" w:hAnsi="Times New Roman" w:eastAsia="仿宋_GB2312"/>
          <w:kern w:val="2"/>
          <w:sz w:val="28"/>
          <w:szCs w:val="28"/>
          <w:lang w:val="en-US"/>
        </w:rPr>
        <w:t>本所对程序</w:t>
      </w:r>
      <w:r>
        <w:rPr>
          <w:rFonts w:hint="eastAsia" w:ascii="Times New Roman" w:hAnsi="Times New Roman" w:eastAsia="仿宋_GB2312"/>
          <w:kern w:val="2"/>
          <w:sz w:val="28"/>
          <w:szCs w:val="28"/>
          <w:lang w:val="en-US" w:eastAsia="zh-CN"/>
        </w:rPr>
        <w:t>化</w:t>
      </w:r>
      <w:r>
        <w:rPr>
          <w:rFonts w:hint="default" w:ascii="Times New Roman" w:hAnsi="Times New Roman" w:eastAsia="仿宋_GB2312"/>
          <w:kern w:val="2"/>
          <w:sz w:val="28"/>
          <w:szCs w:val="28"/>
          <w:lang w:val="en-US"/>
        </w:rPr>
        <w:t>交易账户实行报</w:t>
      </w:r>
      <w:r>
        <w:rPr>
          <w:rFonts w:hint="eastAsia" w:ascii="Times New Roman" w:hAnsi="Times New Roman" w:eastAsia="仿宋_GB2312"/>
          <w:kern w:val="2"/>
          <w:sz w:val="28"/>
          <w:szCs w:val="28"/>
          <w:lang w:val="en-US" w:eastAsia="zh-CN"/>
        </w:rPr>
        <w:t>告</w:t>
      </w:r>
      <w:r>
        <w:rPr>
          <w:rFonts w:hint="default" w:ascii="Times New Roman" w:hAnsi="Times New Roman" w:eastAsia="仿宋_GB2312"/>
          <w:kern w:val="2"/>
          <w:sz w:val="28"/>
          <w:szCs w:val="28"/>
          <w:lang w:val="en-US"/>
        </w:rPr>
        <w:t>制度，要求证券公司事先向本所上报客户计划使用的程序</w:t>
      </w:r>
      <w:r>
        <w:rPr>
          <w:rFonts w:hint="eastAsia" w:ascii="Times New Roman" w:hAnsi="Times New Roman" w:eastAsia="仿宋_GB2312"/>
          <w:kern w:val="2"/>
          <w:sz w:val="28"/>
          <w:szCs w:val="28"/>
          <w:lang w:val="en-US" w:eastAsia="zh-CN"/>
        </w:rPr>
        <w:t>化</w:t>
      </w:r>
      <w:r>
        <w:rPr>
          <w:rFonts w:hint="default" w:ascii="Times New Roman" w:hAnsi="Times New Roman" w:eastAsia="仿宋_GB2312"/>
          <w:kern w:val="2"/>
          <w:sz w:val="28"/>
          <w:szCs w:val="28"/>
          <w:lang w:val="en-US"/>
        </w:rPr>
        <w:t>交易软件及账户相关信息。证券公司单个、多个账户使用交易软件实现自动下单或者快速下单等功能，即非通过人工界面逐笔或逐个组合操作的，即被视为程序</w:t>
      </w:r>
      <w:r>
        <w:rPr>
          <w:rFonts w:hint="eastAsia" w:ascii="Times New Roman" w:hAnsi="Times New Roman" w:eastAsia="仿宋_GB2312"/>
          <w:kern w:val="2"/>
          <w:sz w:val="28"/>
          <w:szCs w:val="28"/>
          <w:lang w:val="en-US" w:eastAsia="zh-CN"/>
        </w:rPr>
        <w:t>化</w:t>
      </w:r>
      <w:r>
        <w:rPr>
          <w:rFonts w:hint="default" w:ascii="Times New Roman" w:hAnsi="Times New Roman" w:eastAsia="仿宋_GB2312"/>
          <w:kern w:val="2"/>
          <w:sz w:val="28"/>
          <w:szCs w:val="28"/>
          <w:lang w:val="en-US"/>
        </w:rPr>
        <w:t>交易。</w:t>
      </w:r>
    </w:p>
    <w:p w14:paraId="5BCE284A">
      <w:pPr>
        <w:ind w:firstLine="560" w:firstLineChars="200"/>
        <w:outlineLvl w:val="1"/>
        <w:rPr>
          <w:rFonts w:ascii="Times New Roman" w:hAnsi="Times New Roman" w:eastAsia="黑体"/>
          <w:kern w:val="0"/>
          <w:sz w:val="28"/>
          <w:szCs w:val="28"/>
        </w:rPr>
      </w:pPr>
      <w:bookmarkStart w:id="414" w:name="一、程序交易接入管理要求"/>
      <w:bookmarkStart w:id="415" w:name="_Toc23947179"/>
      <w:bookmarkStart w:id="416" w:name="_Toc215740323"/>
      <w:bookmarkStart w:id="417" w:name="_Toc452017044"/>
      <w:r>
        <w:rPr>
          <w:rFonts w:hint="eastAsia" w:ascii="Times New Roman" w:hAnsi="Times New Roman" w:eastAsia="黑体"/>
          <w:kern w:val="0"/>
          <w:sz w:val="28"/>
          <w:szCs w:val="28"/>
        </w:rPr>
        <w:t>一、程序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rPr>
        <w:t>交易接入管理要求</w:t>
      </w:r>
      <w:bookmarkEnd w:id="414"/>
      <w:bookmarkEnd w:id="415"/>
      <w:bookmarkEnd w:id="416"/>
      <w:bookmarkEnd w:id="417"/>
    </w:p>
    <w:p w14:paraId="277F6A8C">
      <w:pPr>
        <w:spacing w:before="0" w:after="0"/>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证券公司应当建立程序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交易接入管理制度，明确客户进行程序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交易的相关要求和管理机制，对客户进行程序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交易实行严格的接入和认证管理。期权经营机构应当根据程序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交易管理制度，对客户使用自有、第三方提供或者期权经营机构提供的交易软件或者接口进行程序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交易的申请，进行审核、测试及认证，对符合条件的客户开通程序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交易权限，并与客户签署程序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交易业务协议，明确各自的权利、义务。客户未提出程序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交易申请或者未通过认证的，证券公司不得为其开通程序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交易权限。客户未开通程序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交易权限即自行开展程序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交易的，证券公司发现后应当及时予以制止，并向本所报告。</w:t>
      </w:r>
    </w:p>
    <w:p w14:paraId="66A4C640">
      <w:pPr>
        <w:spacing w:before="0" w:after="0"/>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证券公司应当为已开通程序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交易权限的客户设置专门的接入柜台系统的委托通道，并和未开通程序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交易权限的客户接入柜台系统的委托通道实行隔离管理。</w:t>
      </w:r>
    </w:p>
    <w:p w14:paraId="5135CA32">
      <w:pPr>
        <w:ind w:firstLine="560" w:firstLineChars="200"/>
        <w:outlineLvl w:val="1"/>
        <w:rPr>
          <w:rFonts w:ascii="Times New Roman" w:hAnsi="Times New Roman" w:eastAsia="黑体"/>
          <w:kern w:val="0"/>
          <w:sz w:val="28"/>
          <w:szCs w:val="28"/>
        </w:rPr>
      </w:pPr>
      <w:bookmarkStart w:id="418" w:name="_Toc23947180"/>
      <w:bookmarkStart w:id="419" w:name="_Toc215740324"/>
      <w:bookmarkStart w:id="420" w:name="_Toc452017045"/>
      <w:bookmarkStart w:id="421" w:name="二、报序交易报备管理要求"/>
      <w:r>
        <w:rPr>
          <w:rFonts w:hint="eastAsia" w:ascii="Times New Roman" w:hAnsi="Times New Roman" w:eastAsia="黑体"/>
          <w:kern w:val="0"/>
          <w:sz w:val="28"/>
          <w:szCs w:val="28"/>
        </w:rPr>
        <w:t>二、程序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rPr>
        <w:t>交易</w:t>
      </w:r>
      <w:r>
        <w:rPr>
          <w:rFonts w:hint="eastAsia" w:ascii="Times New Roman" w:hAnsi="Times New Roman" w:eastAsia="黑体"/>
          <w:kern w:val="0"/>
          <w:sz w:val="28"/>
          <w:szCs w:val="28"/>
          <w:lang w:val="en-US" w:eastAsia="zh-CN"/>
        </w:rPr>
        <w:t>报告</w:t>
      </w:r>
      <w:r>
        <w:rPr>
          <w:rFonts w:hint="eastAsia" w:ascii="Times New Roman" w:hAnsi="Times New Roman" w:eastAsia="黑体"/>
          <w:kern w:val="0"/>
          <w:sz w:val="28"/>
          <w:szCs w:val="28"/>
        </w:rPr>
        <w:t>管理要求</w:t>
      </w:r>
      <w:bookmarkEnd w:id="418"/>
      <w:bookmarkEnd w:id="419"/>
      <w:bookmarkEnd w:id="420"/>
    </w:p>
    <w:bookmarkEnd w:id="421"/>
    <w:p w14:paraId="2E21D538">
      <w:pPr>
        <w:spacing w:before="0" w:after="0"/>
        <w:ind w:firstLine="560" w:firstLineChars="200"/>
        <w:rPr>
          <w:rFonts w:ascii="Times New Roman" w:hAnsi="Times New Roman" w:eastAsia="仿宋_GB2312"/>
          <w:kern w:val="2"/>
          <w:sz w:val="28"/>
          <w:szCs w:val="28"/>
          <w:lang w:val="en-US"/>
        </w:rPr>
      </w:pPr>
      <w:r>
        <w:rPr>
          <w:rFonts w:hint="default" w:ascii="Times New Roman" w:hAnsi="Times New Roman" w:eastAsia="仿宋_GB2312" w:cs="Times New Roman"/>
          <w:kern w:val="2"/>
          <w:sz w:val="28"/>
          <w:szCs w:val="28"/>
        </w:rPr>
        <w:t>客户申请使用自有、第三方或者期权经营机构提供的交易软件或者接口进行程序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交易，证券公司经审核、认证后拟为其开通程序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交易权限的，应当严格落实程序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交易的备案要求，提前五个交易日向本所进行</w:t>
      </w:r>
      <w:r>
        <w:rPr>
          <w:rFonts w:hint="eastAsia" w:ascii="Times New Roman" w:hAnsi="Times New Roman" w:eastAsia="仿宋_GB2312"/>
          <w:kern w:val="2"/>
          <w:sz w:val="28"/>
          <w:szCs w:val="28"/>
          <w:lang w:val="en-US" w:eastAsia="zh-CN"/>
        </w:rPr>
        <w:t>报告</w:t>
      </w:r>
      <w:r>
        <w:rPr>
          <w:rFonts w:hint="default" w:ascii="Times New Roman" w:hAnsi="Times New Roman" w:eastAsia="仿宋_GB2312" w:cs="Times New Roman"/>
          <w:kern w:val="2"/>
          <w:sz w:val="28"/>
          <w:szCs w:val="28"/>
        </w:rPr>
        <w:t>。</w:t>
      </w:r>
      <w:r>
        <w:rPr>
          <w:rFonts w:hint="default" w:ascii="Times New Roman" w:hAnsi="Times New Roman" w:eastAsia="仿宋_GB2312"/>
          <w:color w:val="auto"/>
          <w:sz w:val="28"/>
          <w:szCs w:val="28"/>
        </w:rPr>
        <w:t>证券公司</w:t>
      </w:r>
      <w:r>
        <w:rPr>
          <w:rFonts w:hint="default" w:ascii="Times New Roman" w:hAnsi="Times New Roman" w:eastAsia="仿宋_GB2312"/>
          <w:kern w:val="2"/>
          <w:sz w:val="28"/>
          <w:szCs w:val="28"/>
          <w:lang w:val="en-US"/>
        </w:rPr>
        <w:t>可在每个交易日</w:t>
      </w:r>
      <w:r>
        <w:rPr>
          <w:rFonts w:hint="eastAsia" w:ascii="Times New Roman" w:hAnsi="Times New Roman" w:eastAsia="仿宋_GB2312"/>
          <w:kern w:val="2"/>
          <w:sz w:val="28"/>
          <w:szCs w:val="28"/>
          <w:lang w:val="en-US" w:eastAsia="zh-CN"/>
        </w:rPr>
        <w:t>通过业务管理系统平台-交易参与人管理业务模块</w:t>
      </w:r>
      <w:r>
        <w:rPr>
          <w:rFonts w:hint="default" w:ascii="Times New Roman" w:hAnsi="Times New Roman" w:eastAsia="仿宋_GB2312"/>
          <w:kern w:val="2"/>
          <w:sz w:val="28"/>
          <w:szCs w:val="28"/>
          <w:lang w:val="en-US"/>
        </w:rPr>
        <w:t>进行程序</w:t>
      </w:r>
      <w:r>
        <w:rPr>
          <w:rFonts w:hint="eastAsia" w:ascii="Times New Roman" w:hAnsi="Times New Roman" w:eastAsia="仿宋_GB2312"/>
          <w:kern w:val="2"/>
          <w:sz w:val="28"/>
          <w:szCs w:val="28"/>
          <w:lang w:val="en-US" w:eastAsia="zh-CN"/>
        </w:rPr>
        <w:t>化</w:t>
      </w:r>
      <w:r>
        <w:rPr>
          <w:rFonts w:hint="default" w:ascii="Times New Roman" w:hAnsi="Times New Roman" w:eastAsia="仿宋_GB2312"/>
          <w:kern w:val="2"/>
          <w:sz w:val="28"/>
          <w:szCs w:val="28"/>
          <w:lang w:val="en-US"/>
        </w:rPr>
        <w:t>交易</w:t>
      </w:r>
      <w:r>
        <w:rPr>
          <w:rFonts w:hint="eastAsia" w:ascii="Times New Roman" w:hAnsi="Times New Roman" w:eastAsia="仿宋_GB2312"/>
          <w:kern w:val="2"/>
          <w:sz w:val="28"/>
          <w:szCs w:val="28"/>
          <w:lang w:val="en-US" w:eastAsia="zh-CN"/>
        </w:rPr>
        <w:t>报告</w:t>
      </w:r>
      <w:r>
        <w:rPr>
          <w:rFonts w:hint="default" w:ascii="Times New Roman" w:hAnsi="Times New Roman" w:eastAsia="仿宋_GB2312"/>
          <w:kern w:val="2"/>
          <w:sz w:val="28"/>
          <w:szCs w:val="28"/>
          <w:lang w:val="en-US"/>
        </w:rPr>
        <w:t>。</w:t>
      </w:r>
    </w:p>
    <w:p w14:paraId="3BA79302">
      <w:pPr>
        <w:spacing w:before="0" w:beforeLines="-2147483648" w:after="0" w:afterLines="-2147483648"/>
        <w:ind w:firstLine="560" w:firstLineChars="200"/>
        <w:rPr>
          <w:rFonts w:ascii="Times New Roman" w:hAnsi="Times New Roman" w:eastAsia="仿宋_GB2312"/>
          <w:b w:val="0"/>
          <w:sz w:val="28"/>
          <w:szCs w:val="28"/>
        </w:rPr>
      </w:pPr>
      <w:bookmarkStart w:id="422" w:name="_Toc408665057"/>
      <w:r>
        <w:rPr>
          <w:rFonts w:hint="default" w:ascii="Times New Roman" w:hAnsi="Times New Roman" w:eastAsia="仿宋_GB2312"/>
          <w:kern w:val="2"/>
          <w:sz w:val="28"/>
          <w:szCs w:val="28"/>
        </w:rPr>
        <w:t>对于证券公司存在不报、漏报、未及时</w:t>
      </w:r>
      <w:r>
        <w:rPr>
          <w:rFonts w:hint="eastAsia" w:ascii="Times New Roman" w:hAnsi="Times New Roman" w:eastAsia="仿宋_GB2312"/>
          <w:kern w:val="2"/>
          <w:sz w:val="28"/>
          <w:szCs w:val="28"/>
          <w:lang w:val="en-US" w:eastAsia="zh-CN"/>
        </w:rPr>
        <w:t>报告</w:t>
      </w:r>
      <w:r>
        <w:rPr>
          <w:rFonts w:hint="default" w:ascii="Times New Roman" w:hAnsi="Times New Roman" w:eastAsia="仿宋_GB2312"/>
          <w:kern w:val="2"/>
          <w:sz w:val="28"/>
          <w:szCs w:val="28"/>
        </w:rPr>
        <w:t>程序</w:t>
      </w:r>
      <w:r>
        <w:rPr>
          <w:rFonts w:hint="eastAsia" w:ascii="Times New Roman" w:hAnsi="Times New Roman" w:eastAsia="仿宋_GB2312"/>
          <w:kern w:val="2"/>
          <w:sz w:val="28"/>
          <w:szCs w:val="28"/>
          <w:lang w:val="en-US" w:eastAsia="zh-CN"/>
        </w:rPr>
        <w:t>化</w:t>
      </w:r>
      <w:r>
        <w:rPr>
          <w:rFonts w:hint="default" w:ascii="Times New Roman" w:hAnsi="Times New Roman" w:eastAsia="仿宋_GB2312"/>
          <w:kern w:val="2"/>
          <w:sz w:val="28"/>
          <w:szCs w:val="28"/>
        </w:rPr>
        <w:t>交易等情况的，本所可根据情节轻重，采取书面警示、监管谈话等监管措施或者纪律处分措施。</w:t>
      </w:r>
    </w:p>
    <w:p w14:paraId="37B432A5">
      <w:pPr>
        <w:ind w:firstLine="560" w:firstLineChars="200"/>
        <w:outlineLvl w:val="1"/>
        <w:rPr>
          <w:rFonts w:hint="eastAsia" w:ascii="Times New Roman" w:hAnsi="Times New Roman" w:eastAsia="黑体"/>
          <w:sz w:val="28"/>
          <w:szCs w:val="28"/>
        </w:rPr>
      </w:pPr>
      <w:bookmarkStart w:id="423" w:name="_Toc15551"/>
      <w:bookmarkStart w:id="424" w:name="三、程序升级报备"/>
      <w:bookmarkStart w:id="425" w:name="_Toc452017046"/>
      <w:bookmarkStart w:id="426" w:name="_Toc18387"/>
      <w:bookmarkStart w:id="427" w:name="_Toc23947181"/>
      <w:bookmarkStart w:id="428" w:name="_Toc215740325"/>
      <w:bookmarkStart w:id="429" w:name="_Toc27227"/>
      <w:r>
        <w:rPr>
          <w:rFonts w:hint="eastAsia" w:ascii="Times New Roman" w:hAnsi="Times New Roman" w:eastAsia="黑体"/>
          <w:sz w:val="28"/>
          <w:szCs w:val="28"/>
        </w:rPr>
        <w:t>三、变更</w:t>
      </w:r>
      <w:bookmarkEnd w:id="422"/>
      <w:bookmarkEnd w:id="423"/>
      <w:bookmarkEnd w:id="424"/>
      <w:bookmarkEnd w:id="425"/>
      <w:bookmarkEnd w:id="426"/>
      <w:bookmarkEnd w:id="427"/>
      <w:bookmarkEnd w:id="428"/>
      <w:bookmarkEnd w:id="429"/>
      <w:r>
        <w:rPr>
          <w:rFonts w:hint="eastAsia" w:ascii="Times New Roman" w:hAnsi="Times New Roman" w:eastAsia="黑体"/>
          <w:sz w:val="28"/>
          <w:szCs w:val="28"/>
          <w:lang w:val="en-US" w:eastAsia="zh-CN"/>
        </w:rPr>
        <w:t>报告</w:t>
      </w:r>
    </w:p>
    <w:p w14:paraId="60D43339">
      <w:pPr>
        <w:spacing w:before="0" w:beforeLines="-2147483648" w:after="0" w:afterLines="-2147483648"/>
        <w:ind w:firstLine="560" w:firstLineChars="200"/>
        <w:rPr>
          <w:rFonts w:ascii="Times New Roman" w:hAnsi="Times New Roman" w:eastAsia="仿宋_GB2312"/>
          <w:bCs w:val="0"/>
          <w:kern w:val="2"/>
          <w:sz w:val="28"/>
          <w:szCs w:val="28"/>
        </w:rPr>
      </w:pPr>
      <w:r>
        <w:rPr>
          <w:rFonts w:hint="default" w:ascii="Times New Roman" w:hAnsi="Times New Roman" w:eastAsia="仿宋_GB2312"/>
          <w:bCs w:val="0"/>
          <w:kern w:val="2"/>
          <w:sz w:val="28"/>
          <w:szCs w:val="28"/>
        </w:rPr>
        <w:t>已</w:t>
      </w:r>
      <w:r>
        <w:rPr>
          <w:rFonts w:hint="eastAsia" w:ascii="Times New Roman" w:hAnsi="Times New Roman" w:eastAsia="仿宋_GB2312"/>
          <w:bCs w:val="0"/>
          <w:kern w:val="2"/>
          <w:sz w:val="28"/>
          <w:szCs w:val="28"/>
          <w:lang w:val="en-US" w:eastAsia="zh-CN"/>
        </w:rPr>
        <w:t>报告</w:t>
      </w:r>
      <w:r>
        <w:rPr>
          <w:rFonts w:hint="default" w:ascii="Times New Roman" w:hAnsi="Times New Roman" w:eastAsia="仿宋_GB2312"/>
          <w:bCs w:val="0"/>
          <w:kern w:val="2"/>
          <w:sz w:val="28"/>
          <w:szCs w:val="28"/>
        </w:rPr>
        <w:t>的程序</w:t>
      </w:r>
      <w:r>
        <w:rPr>
          <w:rFonts w:hint="eastAsia" w:ascii="Times New Roman" w:hAnsi="Times New Roman" w:eastAsia="仿宋_GB2312"/>
          <w:bCs w:val="0"/>
          <w:kern w:val="2"/>
          <w:sz w:val="28"/>
          <w:szCs w:val="28"/>
          <w:lang w:val="en-US" w:eastAsia="zh-CN"/>
        </w:rPr>
        <w:t>化</w:t>
      </w:r>
      <w:r>
        <w:rPr>
          <w:rFonts w:hint="default" w:ascii="Times New Roman" w:hAnsi="Times New Roman" w:eastAsia="仿宋_GB2312"/>
          <w:bCs w:val="0"/>
          <w:kern w:val="2"/>
          <w:sz w:val="28"/>
          <w:szCs w:val="28"/>
        </w:rPr>
        <w:t>交易账户发生以下信息变更时，证券公司应当提前5个交易日向本所进行信息变更</w:t>
      </w:r>
      <w:r>
        <w:rPr>
          <w:rFonts w:hint="eastAsia" w:ascii="Times New Roman" w:hAnsi="Times New Roman" w:eastAsia="仿宋_GB2312"/>
          <w:bCs w:val="0"/>
          <w:kern w:val="2"/>
          <w:sz w:val="28"/>
          <w:szCs w:val="28"/>
          <w:lang w:val="en-US" w:eastAsia="zh-CN"/>
        </w:rPr>
        <w:t>报告</w:t>
      </w:r>
      <w:r>
        <w:rPr>
          <w:rFonts w:hint="default" w:ascii="Times New Roman" w:hAnsi="Times New Roman" w:eastAsia="仿宋_GB2312"/>
          <w:bCs w:val="0"/>
          <w:kern w:val="2"/>
          <w:sz w:val="28"/>
          <w:szCs w:val="28"/>
        </w:rPr>
        <w:t>：</w:t>
      </w:r>
    </w:p>
    <w:p w14:paraId="700C5924">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1.</w:t>
      </w:r>
      <w:r>
        <w:rPr>
          <w:rFonts w:hint="default" w:ascii="Times New Roman" w:hAnsi="Times New Roman" w:eastAsia="仿宋_GB2312"/>
          <w:bCs w:val="0"/>
          <w:kern w:val="2"/>
          <w:sz w:val="28"/>
          <w:szCs w:val="28"/>
        </w:rPr>
        <w:t>机构账户资金来源发生变更；</w:t>
      </w:r>
    </w:p>
    <w:p w14:paraId="5B644C64">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2.</w:t>
      </w:r>
      <w:r>
        <w:rPr>
          <w:rFonts w:hint="default" w:ascii="Times New Roman" w:hAnsi="Times New Roman" w:eastAsia="仿宋_GB2312"/>
          <w:bCs w:val="0"/>
          <w:kern w:val="2"/>
          <w:sz w:val="28"/>
          <w:szCs w:val="28"/>
        </w:rPr>
        <w:t>机构账户实际控制人发生变更；</w:t>
      </w:r>
    </w:p>
    <w:p w14:paraId="64003B0E">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3.</w:t>
      </w:r>
      <w:r>
        <w:rPr>
          <w:rFonts w:hint="default" w:ascii="Times New Roman" w:hAnsi="Times New Roman" w:eastAsia="仿宋_GB2312"/>
          <w:bCs w:val="0"/>
          <w:kern w:val="2"/>
          <w:sz w:val="28"/>
          <w:szCs w:val="28"/>
        </w:rPr>
        <w:t>机构账户主要交易员信息发生变更；</w:t>
      </w:r>
    </w:p>
    <w:p w14:paraId="5DB5B827">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4.</w:t>
      </w:r>
      <w:r>
        <w:rPr>
          <w:rFonts w:hint="default" w:ascii="Times New Roman" w:hAnsi="Times New Roman" w:eastAsia="仿宋_GB2312"/>
          <w:bCs w:val="0"/>
          <w:kern w:val="2"/>
          <w:sz w:val="28"/>
          <w:szCs w:val="28"/>
        </w:rPr>
        <w:t>交易系统或下单系统服务器所在城市发生变更；</w:t>
      </w:r>
    </w:p>
    <w:p w14:paraId="1C452F0E">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5.</w:t>
      </w:r>
      <w:r>
        <w:rPr>
          <w:rFonts w:hint="default" w:ascii="Times New Roman" w:hAnsi="Times New Roman" w:eastAsia="仿宋_GB2312"/>
          <w:bCs w:val="0"/>
          <w:kern w:val="2"/>
          <w:sz w:val="28"/>
          <w:szCs w:val="28"/>
        </w:rPr>
        <w:t>程序</w:t>
      </w:r>
      <w:r>
        <w:rPr>
          <w:rFonts w:hint="eastAsia" w:ascii="Times New Roman" w:hAnsi="Times New Roman" w:eastAsia="仿宋_GB2312"/>
          <w:bCs w:val="0"/>
          <w:kern w:val="2"/>
          <w:sz w:val="28"/>
          <w:szCs w:val="28"/>
          <w:lang w:val="en-US" w:eastAsia="zh-CN"/>
        </w:rPr>
        <w:t>化</w:t>
      </w:r>
      <w:r>
        <w:rPr>
          <w:rFonts w:hint="default" w:ascii="Times New Roman" w:hAnsi="Times New Roman" w:eastAsia="仿宋_GB2312"/>
          <w:bCs w:val="0"/>
          <w:kern w:val="2"/>
          <w:sz w:val="28"/>
          <w:szCs w:val="28"/>
        </w:rPr>
        <w:t>交易软件信息发生重大变更；</w:t>
      </w:r>
    </w:p>
    <w:p w14:paraId="68A02909">
      <w:pPr>
        <w:spacing w:before="0" w:beforeLines="-2147483648" w:after="0" w:afterLines="-2147483648"/>
        <w:ind w:firstLine="560" w:firstLineChars="200"/>
        <w:rPr>
          <w:rFonts w:ascii="Times New Roman" w:hAnsi="Times New Roman" w:eastAsia="仿宋_GB2312"/>
          <w:bCs w:val="0"/>
          <w:kern w:val="2"/>
          <w:sz w:val="28"/>
          <w:szCs w:val="28"/>
        </w:rPr>
      </w:pPr>
      <w:r>
        <w:rPr>
          <w:rFonts w:hint="eastAsia" w:ascii="Times New Roman" w:hAnsi="Times New Roman" w:eastAsia="仿宋_GB2312"/>
          <w:sz w:val="28"/>
          <w:szCs w:val="28"/>
        </w:rPr>
        <w:t>6.</w:t>
      </w:r>
      <w:r>
        <w:rPr>
          <w:rFonts w:hint="default" w:ascii="Times New Roman" w:hAnsi="Times New Roman" w:eastAsia="仿宋_GB2312"/>
          <w:bCs w:val="0"/>
          <w:kern w:val="2"/>
          <w:sz w:val="28"/>
          <w:szCs w:val="28"/>
        </w:rPr>
        <w:t>其他重大信息变更。</w:t>
      </w:r>
    </w:p>
    <w:p w14:paraId="5A2D13A1">
      <w:pPr>
        <w:ind w:firstLine="560" w:firstLineChars="200"/>
        <w:outlineLvl w:val="1"/>
        <w:rPr>
          <w:rFonts w:ascii="Times New Roman" w:hAnsi="Times New Roman" w:eastAsia="黑体"/>
          <w:kern w:val="0"/>
          <w:sz w:val="28"/>
          <w:szCs w:val="28"/>
          <w:lang w:val="zh-CN"/>
        </w:rPr>
      </w:pPr>
      <w:bookmarkStart w:id="430" w:name="_Toc215740326"/>
      <w:bookmarkStart w:id="431" w:name="_Toc452017047"/>
      <w:bookmarkStart w:id="432" w:name="四、程序交易的监管"/>
      <w:bookmarkStart w:id="433" w:name="_Toc23947182"/>
      <w:r>
        <w:rPr>
          <w:rFonts w:hint="eastAsia" w:ascii="Times New Roman" w:hAnsi="Times New Roman" w:eastAsia="黑体"/>
          <w:kern w:val="0"/>
          <w:sz w:val="28"/>
          <w:szCs w:val="28"/>
          <w:lang w:val="zh-CN"/>
        </w:rPr>
        <w:t>四、程序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lang w:val="zh-CN"/>
        </w:rPr>
        <w:t>交易的监管</w:t>
      </w:r>
      <w:bookmarkEnd w:id="430"/>
      <w:bookmarkEnd w:id="431"/>
      <w:bookmarkEnd w:id="432"/>
      <w:bookmarkEnd w:id="433"/>
    </w:p>
    <w:p w14:paraId="3494719C">
      <w:pPr>
        <w:autoSpaceDE/>
        <w:autoSpaceDN/>
        <w:adjustRightInd/>
        <w:spacing w:line="240" w:lineRule="auto"/>
        <w:ind w:firstLine="560" w:firstLineChars="200"/>
        <w:rPr>
          <w:rFonts w:ascii="Times New Roman" w:hAnsi="Times New Roman" w:eastAsia="仿宋_GB2312" w:cs="Times New Roman"/>
          <w:bCs w:val="0"/>
          <w:sz w:val="28"/>
          <w:szCs w:val="28"/>
        </w:rPr>
      </w:pPr>
      <w:r>
        <w:rPr>
          <w:rFonts w:hint="default" w:ascii="Times New Roman" w:hAnsi="Times New Roman" w:eastAsia="仿宋_GB2312" w:cs="Times New Roman"/>
          <w:bCs w:val="0"/>
          <w:sz w:val="28"/>
          <w:szCs w:val="28"/>
        </w:rPr>
        <w:t>本所对证券公司提交的</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材料进行核查，发现信息不全或存有疑义的，将在收到</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材料的5个交易日内向证券公司进行反馈，要求补充材料或进行相关解释。证券公司在5个交易日内未收到本所反馈的，</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账户可于报送之日起5个交易日后进行股票期权程序</w:t>
      </w:r>
      <w:r>
        <w:rPr>
          <w:rFonts w:hint="eastAsia" w:ascii="Times New Roman" w:hAnsi="Times New Roman" w:eastAsia="仿宋_GB2312" w:cs="Times New Roman"/>
          <w:bCs w:val="0"/>
          <w:sz w:val="28"/>
          <w:szCs w:val="28"/>
          <w:lang w:val="en-US" w:eastAsia="zh-CN"/>
        </w:rPr>
        <w:t>化</w:t>
      </w:r>
      <w:r>
        <w:rPr>
          <w:rFonts w:hint="default" w:ascii="Times New Roman" w:hAnsi="Times New Roman" w:eastAsia="仿宋_GB2312" w:cs="Times New Roman"/>
          <w:bCs w:val="0"/>
          <w:sz w:val="28"/>
          <w:szCs w:val="28"/>
        </w:rPr>
        <w:t>交易。</w:t>
      </w:r>
    </w:p>
    <w:p w14:paraId="72E71DD5">
      <w:pPr>
        <w:autoSpaceDE/>
        <w:autoSpaceDN/>
        <w:adjustRightInd/>
        <w:spacing w:line="240" w:lineRule="auto"/>
        <w:ind w:firstLine="560" w:firstLineChars="200"/>
        <w:rPr>
          <w:rFonts w:ascii="Times New Roman" w:hAnsi="Times New Roman" w:eastAsia="仿宋_GB2312" w:cs="Times New Roman"/>
          <w:bCs w:val="0"/>
          <w:sz w:val="28"/>
          <w:szCs w:val="28"/>
        </w:rPr>
      </w:pPr>
      <w:r>
        <w:rPr>
          <w:rFonts w:hint="default" w:ascii="Times New Roman" w:hAnsi="Times New Roman" w:eastAsia="仿宋_GB2312" w:cs="Times New Roman"/>
          <w:bCs w:val="0"/>
          <w:sz w:val="28"/>
          <w:szCs w:val="28"/>
        </w:rPr>
        <w:t>投资者可以通过证券公司向本所申请撤销程序</w:t>
      </w:r>
      <w:r>
        <w:rPr>
          <w:rFonts w:hint="eastAsia" w:ascii="Times New Roman" w:hAnsi="Times New Roman" w:eastAsia="仿宋_GB2312" w:cs="Times New Roman"/>
          <w:bCs w:val="0"/>
          <w:sz w:val="28"/>
          <w:szCs w:val="28"/>
          <w:lang w:val="en-US" w:eastAsia="zh-CN"/>
        </w:rPr>
        <w:t>化</w:t>
      </w:r>
      <w:r>
        <w:rPr>
          <w:rFonts w:hint="default" w:ascii="Times New Roman" w:hAnsi="Times New Roman" w:eastAsia="仿宋_GB2312" w:cs="Times New Roman"/>
          <w:bCs w:val="0"/>
          <w:sz w:val="28"/>
          <w:szCs w:val="28"/>
        </w:rPr>
        <w:t>交易账户</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，撤销</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后的账户在再次</w:t>
      </w:r>
      <w:r>
        <w:rPr>
          <w:rFonts w:hint="eastAsia" w:ascii="Times New Roman" w:hAnsi="Times New Roman" w:eastAsia="仿宋_GB2312" w:cs="Times New Roman"/>
          <w:bCs w:val="0"/>
          <w:sz w:val="28"/>
          <w:szCs w:val="28"/>
          <w:lang w:val="en-US" w:eastAsia="zh-CN"/>
        </w:rPr>
        <w:t>报告</w:t>
      </w:r>
      <w:r>
        <w:rPr>
          <w:rFonts w:hint="default" w:ascii="Times New Roman" w:hAnsi="Times New Roman" w:eastAsia="仿宋_GB2312" w:cs="Times New Roman"/>
          <w:bCs w:val="0"/>
          <w:sz w:val="28"/>
          <w:szCs w:val="28"/>
        </w:rPr>
        <w:t>前不得进行程序</w:t>
      </w:r>
      <w:r>
        <w:rPr>
          <w:rFonts w:hint="eastAsia" w:ascii="Times New Roman" w:hAnsi="Times New Roman" w:eastAsia="仿宋_GB2312" w:cs="Times New Roman"/>
          <w:bCs w:val="0"/>
          <w:sz w:val="28"/>
          <w:szCs w:val="28"/>
          <w:lang w:val="en-US" w:eastAsia="zh-CN"/>
        </w:rPr>
        <w:t>化</w:t>
      </w:r>
      <w:r>
        <w:rPr>
          <w:rFonts w:hint="default" w:ascii="Times New Roman" w:hAnsi="Times New Roman" w:eastAsia="仿宋_GB2312" w:cs="Times New Roman"/>
          <w:bCs w:val="0"/>
          <w:sz w:val="28"/>
          <w:szCs w:val="28"/>
        </w:rPr>
        <w:t>交易。</w:t>
      </w:r>
    </w:p>
    <w:p w14:paraId="127CC631">
      <w:pPr>
        <w:spacing w:before="0" w:after="0"/>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证券公司应当加强对程序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交易的运行监控，并针对客户程序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交易可能发生的异常情况，建立预防、发现与处置机制，自觉维护</w:t>
      </w:r>
      <w:r>
        <w:rPr>
          <w:rFonts w:ascii="Times New Roman" w:hAnsi="Times New Roman" w:eastAsia="仿宋_GB2312"/>
          <w:sz w:val="28"/>
          <w:szCs w:val="28"/>
        </w:rPr>
        <w:t>股票</w:t>
      </w:r>
      <w:r>
        <w:rPr>
          <w:rFonts w:hint="default" w:ascii="Times New Roman" w:hAnsi="Times New Roman" w:eastAsia="仿宋_GB2312" w:cs="Times New Roman"/>
          <w:kern w:val="2"/>
          <w:sz w:val="28"/>
          <w:szCs w:val="28"/>
        </w:rPr>
        <w:t>期权交易的正常秩序。证券公司应当建立程序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交易监控系统并设置实时监控指标和合理阈值。证券公司应当勤勉尽责，定期审查程序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交易客户是否利用其程序或软件为他人服务，或将其程序或软件提供给他人使用。证券公司及应当采取有效措施防范协议破解、外挂依附、文件交换等其他变相方式违规接入。</w:t>
      </w:r>
    </w:p>
    <w:p w14:paraId="606C60C0">
      <w:pPr>
        <w:spacing w:before="0" w:after="0"/>
        <w:ind w:firstLine="560" w:firstLineChars="200"/>
        <w:rPr>
          <w:rFonts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客户进行程序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交易出现或者可能出现异常的，证券公司应当按照与客户的约定，及时采取应急处置措施，包括但不限于限制客户交易权限、为客户提供紧急撤单服务等。</w:t>
      </w:r>
    </w:p>
    <w:p w14:paraId="4D14BC70">
      <w:pPr>
        <w:widowControl/>
        <w:jc w:val="left"/>
        <w:rPr>
          <w:rStyle w:val="46"/>
          <w:rFonts w:ascii="Times New Roman" w:hAnsi="Times New Roman" w:eastAsia="黑体"/>
          <w:sz w:val="32"/>
        </w:rPr>
      </w:pPr>
      <w:bookmarkStart w:id="434" w:name="大户报告"/>
      <w:bookmarkStart w:id="435" w:name="第十二章大户报告"/>
      <w:bookmarkStart w:id="436" w:name="_Toc408665059"/>
      <w:bookmarkStart w:id="437" w:name="_Toc5055"/>
      <w:bookmarkStart w:id="438" w:name="_Toc17058"/>
      <w:bookmarkStart w:id="439" w:name="_Toc23947183"/>
      <w:bookmarkStart w:id="440" w:name="_Toc4589"/>
      <w:bookmarkStart w:id="441" w:name="七六"/>
      <w:bookmarkStart w:id="442" w:name="第十四章大户报告"/>
      <w:r>
        <w:rPr>
          <w:rStyle w:val="46"/>
          <w:rFonts w:ascii="Times New Roman" w:hAnsi="Times New Roman" w:eastAsia="黑体"/>
          <w:sz w:val="32"/>
        </w:rPr>
        <w:br w:type="page"/>
      </w:r>
    </w:p>
    <w:p w14:paraId="474B13B4">
      <w:pPr>
        <w:spacing w:before="156" w:beforeLines="50" w:after="156" w:afterLines="50"/>
        <w:ind w:firstLine="0" w:firstLineChars="0"/>
        <w:jc w:val="center"/>
        <w:outlineLvl w:val="0"/>
        <w:rPr>
          <w:rStyle w:val="46"/>
          <w:rFonts w:ascii="Times New Roman" w:hAnsi="Times New Roman" w:eastAsia="黑体"/>
          <w:sz w:val="32"/>
        </w:rPr>
      </w:pPr>
      <w:bookmarkStart w:id="443" w:name="_Toc215740327"/>
      <w:r>
        <w:rPr>
          <w:rStyle w:val="46"/>
          <w:rFonts w:hint="default" w:ascii="Times New Roman" w:hAnsi="Times New Roman" w:eastAsia="黑体"/>
          <w:sz w:val="32"/>
        </w:rPr>
        <w:t>第十四章 大户报告</w:t>
      </w:r>
      <w:bookmarkEnd w:id="434"/>
      <w:bookmarkEnd w:id="435"/>
      <w:bookmarkEnd w:id="436"/>
      <w:bookmarkEnd w:id="437"/>
      <w:bookmarkEnd w:id="438"/>
      <w:bookmarkEnd w:id="439"/>
      <w:bookmarkEnd w:id="440"/>
      <w:bookmarkEnd w:id="441"/>
      <w:bookmarkEnd w:id="442"/>
      <w:bookmarkEnd w:id="443"/>
    </w:p>
    <w:p w14:paraId="08243F4B">
      <w:pPr>
        <w:ind w:firstLine="560" w:firstLineChars="200"/>
        <w:rPr>
          <w:rFonts w:ascii="Times New Roman" w:hAnsi="Times New Roman" w:eastAsia="仿宋_GB2312"/>
          <w:sz w:val="28"/>
          <w:szCs w:val="28"/>
        </w:rPr>
      </w:pPr>
      <w:r>
        <w:rPr>
          <w:rFonts w:ascii="Times New Roman" w:hAnsi="Times New Roman" w:eastAsia="仿宋_GB2312"/>
          <w:sz w:val="28"/>
          <w:szCs w:val="28"/>
        </w:rPr>
        <w:t>股票</w:t>
      </w:r>
      <w:r>
        <w:rPr>
          <w:rFonts w:hint="default" w:ascii="Times New Roman" w:hAnsi="Times New Roman" w:eastAsia="仿宋_GB2312"/>
          <w:sz w:val="28"/>
          <w:szCs w:val="28"/>
        </w:rPr>
        <w:t>期权交易实行大户持仓报告制度。本所可根据市场风险状况要求期权经营机构或投资者进行报告。</w:t>
      </w:r>
    </w:p>
    <w:p w14:paraId="703C0AF5">
      <w:pPr>
        <w:ind w:firstLine="560" w:firstLineChars="200"/>
        <w:outlineLvl w:val="1"/>
        <w:rPr>
          <w:rFonts w:ascii="Times New Roman" w:hAnsi="Times New Roman" w:eastAsia="黑体"/>
          <w:b w:val="0"/>
          <w:bCs w:val="0"/>
          <w:sz w:val="28"/>
          <w:szCs w:val="28"/>
        </w:rPr>
      </w:pPr>
      <w:bookmarkStart w:id="444" w:name="_Toc215740328"/>
      <w:r>
        <w:rPr>
          <w:rFonts w:hint="default" w:ascii="Times New Roman" w:hAnsi="Times New Roman" w:eastAsia="黑体"/>
          <w:b w:val="0"/>
          <w:bCs w:val="0"/>
          <w:sz w:val="28"/>
          <w:szCs w:val="28"/>
        </w:rPr>
        <w:t>一</w:t>
      </w:r>
      <w:r>
        <w:rPr>
          <w:rFonts w:hint="eastAsia" w:ascii="Times New Roman" w:hAnsi="Times New Roman" w:eastAsia="黑体"/>
          <w:sz w:val="28"/>
          <w:szCs w:val="28"/>
        </w:rPr>
        <w:t>、</w:t>
      </w:r>
      <w:r>
        <w:rPr>
          <w:rFonts w:hint="default" w:ascii="Times New Roman" w:hAnsi="Times New Roman" w:eastAsia="黑体"/>
          <w:b w:val="0"/>
          <w:bCs w:val="0"/>
          <w:sz w:val="28"/>
          <w:szCs w:val="28"/>
        </w:rPr>
        <w:t>报告要求和报告材料</w:t>
      </w:r>
      <w:bookmarkEnd w:id="444"/>
    </w:p>
    <w:p w14:paraId="26761740">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本所认为有必要时，可以要求证券公司的客户向本所报告其资金情况、头寸情况、交易用途等，提供以下材料：</w:t>
      </w:r>
    </w:p>
    <w:p w14:paraId="2F4F7CF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1.《大户持仓报告表》（详见附件</w:t>
      </w:r>
      <w:r>
        <w:rPr>
          <w:rFonts w:hint="eastAsia" w:ascii="Times New Roman" w:hAnsi="Times New Roman" w:eastAsia="仿宋_GB2312"/>
          <w:sz w:val="28"/>
          <w:szCs w:val="28"/>
          <w:lang w:eastAsia="zh-CN"/>
        </w:rPr>
        <w:t>三</w:t>
      </w:r>
      <w:r>
        <w:rPr>
          <w:rFonts w:hint="default" w:ascii="Times New Roman" w:hAnsi="Times New Roman" w:eastAsia="仿宋_GB2312"/>
          <w:sz w:val="28"/>
          <w:szCs w:val="28"/>
        </w:rPr>
        <w:t>）；</w:t>
      </w:r>
    </w:p>
    <w:p w14:paraId="3E8EB9A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2.资金来源说明；</w:t>
      </w:r>
    </w:p>
    <w:p w14:paraId="3E79FEA5">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3.法人投资者的实际控制人资料；</w:t>
      </w:r>
    </w:p>
    <w:p w14:paraId="2356F5D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4.开户资料及当日结算单据；</w:t>
      </w:r>
    </w:p>
    <w:p w14:paraId="5DA1702B">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5.持仓意向，包括行权意愿与可能被行权准备情况说明；</w:t>
      </w:r>
    </w:p>
    <w:p w14:paraId="0A07588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6.交易所要求提供的其他资料。</w:t>
      </w:r>
    </w:p>
    <w:p w14:paraId="7E850ADF">
      <w:pPr>
        <w:ind w:firstLine="560" w:firstLineChars="200"/>
        <w:outlineLvl w:val="1"/>
        <w:rPr>
          <w:rFonts w:ascii="Times New Roman" w:hAnsi="Times New Roman" w:eastAsia="黑体"/>
          <w:sz w:val="28"/>
          <w:szCs w:val="28"/>
        </w:rPr>
      </w:pPr>
      <w:bookmarkStart w:id="445" w:name="_Toc215740329"/>
      <w:r>
        <w:rPr>
          <w:rFonts w:hint="default" w:ascii="Times New Roman" w:hAnsi="Times New Roman" w:eastAsia="黑体"/>
          <w:sz w:val="28"/>
          <w:szCs w:val="28"/>
        </w:rPr>
        <w:t>二</w:t>
      </w:r>
      <w:r>
        <w:rPr>
          <w:rFonts w:hint="eastAsia" w:ascii="Times New Roman" w:hAnsi="Times New Roman" w:eastAsia="黑体"/>
          <w:sz w:val="28"/>
          <w:szCs w:val="28"/>
        </w:rPr>
        <w:t>、</w:t>
      </w:r>
      <w:r>
        <w:rPr>
          <w:rFonts w:hint="default" w:ascii="Times New Roman" w:hAnsi="Times New Roman" w:eastAsia="黑体"/>
          <w:sz w:val="28"/>
          <w:szCs w:val="28"/>
        </w:rPr>
        <w:t>报告注意事项</w:t>
      </w:r>
      <w:bookmarkEnd w:id="445"/>
    </w:p>
    <w:p w14:paraId="02DF477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1.计算大户持仓报告标准时，对同一个投资者、证券公司持有的一个或多个合约账户中的所有持仓进行合并计算。</w:t>
      </w:r>
    </w:p>
    <w:p w14:paraId="45A27CA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投资者被交易所要求报告的，交易所将大户报告表发送至证券公司或特殊客户（如基金等）。若报告主体是投资者的，由证券公司发送至客户（对同一投资者在多家期权经营机构开立合约账户的，本所根据投资者持仓大小选择期权经营机构）。投资者、证券公司应当于下一交易日15:00前及时向交易所报告。</w:t>
      </w:r>
    </w:p>
    <w:p w14:paraId="477FE97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特殊客户（如基金等）可直接向交易所报告，其他客户由证券公司代为向交易所报告，证券公司应对客户提供的资料进行审核，并保证客户所提供资料的真实性和准确性。客户未按要求报告的，证券公司应当向交易所报告该客户持仓情况。</w:t>
      </w:r>
    </w:p>
    <w:p w14:paraId="2B10B2E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4.交易所对证券公司或者投资者提供的资料进行核查后，将视情况通知证券公司或客户再次报告或者补充报告。</w:t>
      </w:r>
    </w:p>
    <w:p w14:paraId="744D3B79">
      <w:pPr>
        <w:widowControl/>
        <w:jc w:val="left"/>
        <w:rPr>
          <w:rFonts w:ascii="Times New Roman" w:hAnsi="Times New Roman" w:eastAsia="仿宋_GB2312"/>
          <w:b/>
          <w:bCs/>
          <w:sz w:val="28"/>
          <w:szCs w:val="28"/>
        </w:rPr>
      </w:pPr>
      <w:bookmarkStart w:id="446" w:name="_Toc3643"/>
      <w:bookmarkStart w:id="447" w:name="_Toc23947184"/>
      <w:bookmarkStart w:id="448" w:name="第十三章应急预案"/>
      <w:bookmarkStart w:id="449" w:name="_Toc452017048"/>
      <w:bookmarkStart w:id="450" w:name="_Toc16885"/>
      <w:bookmarkStart w:id="451" w:name="_Toc408665062"/>
      <w:bookmarkStart w:id="452" w:name="_Toc7618"/>
      <w:r>
        <w:rPr>
          <w:rFonts w:ascii="Times New Roman" w:hAnsi="Times New Roman" w:eastAsia="仿宋_GB2312"/>
          <w:b/>
          <w:bCs/>
          <w:sz w:val="28"/>
          <w:szCs w:val="28"/>
        </w:rPr>
        <w:br w:type="page"/>
      </w:r>
    </w:p>
    <w:p w14:paraId="6BE02BDF">
      <w:pPr>
        <w:spacing w:before="156" w:beforeLines="50" w:after="156" w:afterLines="50"/>
        <w:jc w:val="center"/>
        <w:outlineLvl w:val="0"/>
        <w:rPr>
          <w:rStyle w:val="46"/>
          <w:rFonts w:ascii="Times New Roman" w:hAnsi="Times New Roman"/>
        </w:rPr>
      </w:pPr>
      <w:bookmarkStart w:id="453" w:name="_Toc215740330"/>
      <w:r>
        <w:rPr>
          <w:rStyle w:val="46"/>
          <w:rFonts w:hint="default" w:ascii="Times New Roman" w:hAnsi="Times New Roman" w:eastAsia="黑体"/>
          <w:sz w:val="32"/>
        </w:rPr>
        <w:t>第十五章 应急预案</w:t>
      </w:r>
      <w:bookmarkEnd w:id="446"/>
      <w:bookmarkEnd w:id="447"/>
      <w:bookmarkEnd w:id="448"/>
      <w:bookmarkEnd w:id="449"/>
      <w:bookmarkEnd w:id="450"/>
      <w:bookmarkEnd w:id="451"/>
      <w:bookmarkEnd w:id="452"/>
      <w:bookmarkEnd w:id="453"/>
    </w:p>
    <w:p w14:paraId="460A114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为了维护证券公司和客户利益，保证</w:t>
      </w:r>
      <w:r>
        <w:rPr>
          <w:rFonts w:ascii="Times New Roman" w:hAnsi="Times New Roman" w:eastAsia="仿宋_GB2312"/>
          <w:sz w:val="28"/>
          <w:szCs w:val="28"/>
        </w:rPr>
        <w:t>股票</w:t>
      </w:r>
      <w:r>
        <w:rPr>
          <w:rFonts w:hint="default" w:ascii="Times New Roman" w:hAnsi="Times New Roman" w:eastAsia="仿宋_GB2312"/>
          <w:sz w:val="28"/>
          <w:szCs w:val="28"/>
        </w:rPr>
        <w:t>期权业务持续、稳定和健康发展，证券公司应制定《期权业务突发事件应急预案》。证券公司应急工作应做到统一指挥、密切协作、责任明晰、预防为主、信息共享等，并保证及时性与有效性。证券公司处置应急事件应及时通知到客户，力争做到损失及影响最小化。</w:t>
      </w:r>
    </w:p>
    <w:p w14:paraId="006AC240">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根据应急需要，应成立应急工作办公室。根据应急事件发生后的不同情况，需通过公司网站、电话等方式，做好相关客户的沟通与安抚工作，并正确引导舆论。证券公司还应做好应急事件后期处置工作，包括原因调查、责任追究、损失评估和改进措施等。证券公司需对以下应急事件制定相应的应急预案：</w:t>
      </w:r>
    </w:p>
    <w:p w14:paraId="19A405EB">
      <w:pPr>
        <w:ind w:firstLine="560" w:firstLineChars="200"/>
        <w:outlineLvl w:val="1"/>
        <w:rPr>
          <w:rFonts w:ascii="Times New Roman" w:hAnsi="Times New Roman" w:eastAsia="黑体"/>
          <w:sz w:val="28"/>
          <w:szCs w:val="28"/>
        </w:rPr>
      </w:pPr>
      <w:bookmarkStart w:id="454" w:name="_Toc23947185"/>
      <w:bookmarkStart w:id="455" w:name="_Toc6526"/>
      <w:bookmarkStart w:id="456" w:name="_Toc7562"/>
      <w:bookmarkStart w:id="457" w:name="_Toc452017049"/>
      <w:bookmarkStart w:id="458" w:name="_Toc408665063"/>
      <w:bookmarkStart w:id="459" w:name="一、业务人员操作应急事件"/>
      <w:bookmarkStart w:id="460" w:name="_Toc27452"/>
      <w:bookmarkStart w:id="461" w:name="_Toc215740331"/>
      <w:r>
        <w:rPr>
          <w:rFonts w:hint="eastAsia" w:ascii="Times New Roman" w:hAnsi="Times New Roman" w:eastAsia="黑体"/>
          <w:sz w:val="28"/>
          <w:szCs w:val="28"/>
        </w:rPr>
        <w:t>一、业务人员操作应急事件</w:t>
      </w:r>
      <w:bookmarkEnd w:id="454"/>
      <w:bookmarkEnd w:id="455"/>
      <w:bookmarkEnd w:id="456"/>
      <w:bookmarkEnd w:id="457"/>
      <w:bookmarkEnd w:id="458"/>
      <w:bookmarkEnd w:id="459"/>
      <w:bookmarkEnd w:id="460"/>
      <w:bookmarkEnd w:id="461"/>
    </w:p>
    <w:p w14:paraId="2E405653">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业务人员操作应急事件包括但不限于：</w:t>
      </w:r>
    </w:p>
    <w:p w14:paraId="5A5763F0">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业务人员出现向本所报送数据迟报、漏报、错报等情况，比如</w:t>
      </w:r>
      <w:r>
        <w:rPr>
          <w:rFonts w:ascii="Times New Roman" w:hAnsi="Times New Roman" w:eastAsia="仿宋_GB2312"/>
          <w:sz w:val="28"/>
          <w:szCs w:val="28"/>
        </w:rPr>
        <w:t>股票</w:t>
      </w:r>
      <w:r>
        <w:rPr>
          <w:rFonts w:hint="default" w:ascii="Times New Roman" w:hAnsi="Times New Roman" w:eastAsia="仿宋_GB2312"/>
          <w:sz w:val="28"/>
          <w:szCs w:val="28"/>
        </w:rPr>
        <w:t>期权业务人员在操作中将客户账户指定关系指定错误等。</w:t>
      </w:r>
    </w:p>
    <w:p w14:paraId="6EF7A3A6">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 xml:space="preserve"> 股票</w:t>
      </w:r>
      <w:r>
        <w:rPr>
          <w:rFonts w:hint="default" w:ascii="Times New Roman" w:hAnsi="Times New Roman" w:eastAsia="仿宋_GB2312"/>
          <w:sz w:val="28"/>
          <w:szCs w:val="28"/>
        </w:rPr>
        <w:t>期权交易管理系统的交易监控参数等业务参数设置错误、协议行权、清算交收、利息结算等出现差错等；</w:t>
      </w:r>
    </w:p>
    <w:p w14:paraId="00005A54">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其他业务操作不当造成的风险。</w:t>
      </w:r>
    </w:p>
    <w:p w14:paraId="45E24B27">
      <w:pPr>
        <w:ind w:firstLine="560" w:firstLineChars="200"/>
        <w:outlineLvl w:val="1"/>
        <w:rPr>
          <w:rFonts w:ascii="Times New Roman" w:hAnsi="Times New Roman" w:eastAsia="黑体"/>
          <w:sz w:val="28"/>
          <w:szCs w:val="28"/>
        </w:rPr>
      </w:pPr>
      <w:bookmarkStart w:id="462" w:name="_Toc23947186"/>
      <w:bookmarkStart w:id="463" w:name="_Toc215740332"/>
      <w:bookmarkStart w:id="464" w:name="_Toc452017050"/>
      <w:bookmarkStart w:id="465" w:name="_Toc14002"/>
      <w:bookmarkStart w:id="466" w:name="_Toc17327"/>
      <w:bookmarkStart w:id="467" w:name="二、系统技术应急事件"/>
      <w:bookmarkStart w:id="468" w:name="_Toc11133"/>
      <w:bookmarkStart w:id="469" w:name="_Toc408665064"/>
      <w:r>
        <w:rPr>
          <w:rFonts w:hint="eastAsia" w:ascii="Times New Roman" w:hAnsi="Times New Roman" w:eastAsia="黑体"/>
          <w:sz w:val="28"/>
          <w:szCs w:val="28"/>
        </w:rPr>
        <w:t>二、系统技术应急事件</w:t>
      </w:r>
      <w:bookmarkEnd w:id="462"/>
      <w:bookmarkEnd w:id="463"/>
      <w:bookmarkEnd w:id="464"/>
      <w:bookmarkEnd w:id="465"/>
      <w:bookmarkEnd w:id="466"/>
      <w:bookmarkEnd w:id="467"/>
      <w:bookmarkEnd w:id="468"/>
      <w:bookmarkEnd w:id="469"/>
    </w:p>
    <w:p w14:paraId="35AB4864">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系统技术应急事件包括但不限于：</w:t>
      </w:r>
    </w:p>
    <w:p w14:paraId="7FEA444F">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交易系统等技术系统等发生软、硬件故障，影响系统正常运行、无常正常开展交易与结算业务等；</w:t>
      </w:r>
    </w:p>
    <w:p w14:paraId="45F2C494">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报盘系统发生故障等；</w:t>
      </w:r>
    </w:p>
    <w:p w14:paraId="5851B24F">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行情系统发生故障等；</w:t>
      </w:r>
    </w:p>
    <w:p w14:paraId="1742C3D0">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网上交易系统故障，导致和行情主站连不上、行情数据未更新、无法发送行情给网上交易行情服务器、应用程序提示的各种错误、客户端无法连接委托主站、无法连接目的主机等；</w:t>
      </w:r>
    </w:p>
    <w:p w14:paraId="2A4BC275">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hint="default" w:ascii="Times New Roman" w:hAnsi="Times New Roman" w:eastAsia="仿宋_GB2312"/>
          <w:sz w:val="28"/>
          <w:szCs w:val="28"/>
        </w:rPr>
        <w:t>通信系统发生故障导致信息交流中断；</w:t>
      </w:r>
    </w:p>
    <w:p w14:paraId="546EB54C">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hint="default" w:ascii="Times New Roman" w:hAnsi="Times New Roman" w:eastAsia="仿宋_GB2312"/>
          <w:sz w:val="28"/>
          <w:szCs w:val="28"/>
        </w:rPr>
        <w:t>电力系统供应中断影响正常交易；</w:t>
      </w:r>
    </w:p>
    <w:p w14:paraId="79E92C30">
      <w:pPr>
        <w:spacing w:before="0" w:beforeLines="-2147483648" w:after="0" w:afterLines="-2147483648"/>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7.</w:t>
      </w:r>
      <w:r>
        <w:rPr>
          <w:rFonts w:hint="default" w:ascii="Times New Roman" w:hAnsi="Times New Roman" w:eastAsia="仿宋_GB2312"/>
          <w:sz w:val="28"/>
          <w:szCs w:val="28"/>
        </w:rPr>
        <w:t>发生不可抗力，导致主机房发生灾难事件等。</w:t>
      </w:r>
    </w:p>
    <w:p w14:paraId="4DA14A22">
      <w:pPr>
        <w:ind w:firstLine="560" w:firstLineChars="200"/>
        <w:outlineLvl w:val="1"/>
        <w:rPr>
          <w:rFonts w:ascii="Times New Roman" w:hAnsi="Times New Roman" w:eastAsia="黑体"/>
          <w:sz w:val="28"/>
          <w:szCs w:val="28"/>
        </w:rPr>
      </w:pPr>
      <w:bookmarkStart w:id="470" w:name="_Toc29377"/>
      <w:bookmarkStart w:id="471" w:name="_Toc408665065"/>
      <w:bookmarkStart w:id="472" w:name="_Toc23947187"/>
      <w:bookmarkStart w:id="473" w:name="_Toc452017051"/>
      <w:bookmarkStart w:id="474" w:name="_Toc215740333"/>
      <w:bookmarkStart w:id="475" w:name="_Toc1876"/>
      <w:bookmarkStart w:id="476" w:name="三、交易异常事件"/>
      <w:bookmarkStart w:id="477" w:name="_Toc11867"/>
      <w:r>
        <w:rPr>
          <w:rFonts w:hint="eastAsia" w:ascii="Times New Roman" w:hAnsi="Times New Roman" w:eastAsia="黑体"/>
          <w:sz w:val="28"/>
          <w:szCs w:val="28"/>
        </w:rPr>
        <w:t>三、交易异常事件</w:t>
      </w:r>
      <w:bookmarkEnd w:id="470"/>
      <w:bookmarkEnd w:id="471"/>
      <w:bookmarkEnd w:id="472"/>
      <w:bookmarkEnd w:id="473"/>
      <w:bookmarkEnd w:id="474"/>
      <w:bookmarkEnd w:id="475"/>
      <w:bookmarkEnd w:id="476"/>
      <w:bookmarkEnd w:id="477"/>
    </w:p>
    <w:p w14:paraId="0813E6DC">
      <w:pPr>
        <w:spacing w:before="0" w:beforeLines="-2147483648" w:after="0" w:afterLines="-2147483648"/>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针对《交易规则》中规定的本所或中国结算采取的风险控制措施可能需要公司作出的配合、衔接以及对公司产生的影响，制定相应的应急处置管理制度。</w:t>
      </w:r>
    </w:p>
    <w:p w14:paraId="6B7C5AA6">
      <w:pPr>
        <w:widowControl/>
        <w:jc w:val="left"/>
        <w:rPr>
          <w:rFonts w:ascii="Times New Roman" w:hAnsi="Times New Roman" w:eastAsia="黑体"/>
          <w:b/>
          <w:bCs/>
          <w:sz w:val="32"/>
          <w:szCs w:val="32"/>
        </w:rPr>
      </w:pPr>
      <w:bookmarkStart w:id="478" w:name="_Toc406439137"/>
      <w:bookmarkStart w:id="479" w:name="_Toc406438912"/>
      <w:bookmarkStart w:id="480" w:name="_Toc406438952"/>
      <w:bookmarkStart w:id="481" w:name="_Toc408749996"/>
      <w:bookmarkStart w:id="482" w:name="_Toc406436503"/>
      <w:bookmarkStart w:id="483" w:name="_Toc452017052"/>
      <w:bookmarkStart w:id="484" w:name="_Toc23947188"/>
      <w:bookmarkStart w:id="485" w:name="第十四章交易信息提醒及期权基础信息接口文件说明"/>
      <w:r>
        <w:rPr>
          <w:rFonts w:ascii="Times New Roman" w:hAnsi="Times New Roman" w:eastAsia="黑体"/>
          <w:b/>
          <w:bCs/>
          <w:sz w:val="32"/>
          <w:szCs w:val="32"/>
        </w:rPr>
        <w:br w:type="page"/>
      </w:r>
    </w:p>
    <w:p w14:paraId="5DCE7B60">
      <w:pPr>
        <w:spacing w:before="156" w:beforeLines="50" w:after="156" w:afterLines="50"/>
        <w:jc w:val="center"/>
        <w:outlineLvl w:val="0"/>
        <w:rPr>
          <w:rFonts w:hint="eastAsia" w:ascii="Times New Roman" w:hAnsi="Times New Roman" w:eastAsia="黑体"/>
          <w:sz w:val="32"/>
        </w:rPr>
      </w:pPr>
      <w:bookmarkStart w:id="486" w:name="_Toc215740334"/>
      <w:r>
        <w:rPr>
          <w:rFonts w:hint="eastAsia" w:ascii="Times New Roman" w:hAnsi="Times New Roman" w:eastAsia="黑体"/>
          <w:b/>
          <w:bCs/>
          <w:sz w:val="32"/>
          <w:szCs w:val="32"/>
        </w:rPr>
        <w:t>第十六章 交易信息提醒</w:t>
      </w:r>
      <w:bookmarkEnd w:id="478"/>
      <w:bookmarkEnd w:id="479"/>
      <w:bookmarkEnd w:id="480"/>
      <w:bookmarkEnd w:id="481"/>
      <w:bookmarkEnd w:id="482"/>
      <w:r>
        <w:rPr>
          <w:rFonts w:hint="eastAsia" w:ascii="Times New Roman" w:hAnsi="Times New Roman" w:eastAsia="黑体"/>
          <w:b/>
          <w:bCs/>
          <w:sz w:val="32"/>
          <w:szCs w:val="32"/>
        </w:rPr>
        <w:t>及</w:t>
      </w:r>
      <w:r>
        <w:rPr>
          <w:rFonts w:ascii="Times New Roman" w:hAnsi="Times New Roman" w:eastAsia="黑体"/>
          <w:b/>
          <w:bCs/>
          <w:sz w:val="32"/>
          <w:szCs w:val="32"/>
        </w:rPr>
        <w:t>股票</w:t>
      </w:r>
      <w:r>
        <w:rPr>
          <w:rFonts w:hint="eastAsia" w:ascii="Times New Roman" w:hAnsi="Times New Roman" w:eastAsia="黑体"/>
          <w:b/>
          <w:bCs/>
          <w:sz w:val="32"/>
          <w:szCs w:val="32"/>
        </w:rPr>
        <w:t>期权基础信息接口文件</w:t>
      </w:r>
      <w:bookmarkEnd w:id="483"/>
      <w:bookmarkStart w:id="487" w:name="_Toc452017053"/>
      <w:r>
        <w:rPr>
          <w:rFonts w:hint="eastAsia" w:ascii="Times New Roman" w:hAnsi="Times New Roman" w:eastAsia="黑体"/>
          <w:b/>
          <w:bCs/>
          <w:sz w:val="32"/>
          <w:szCs w:val="32"/>
        </w:rPr>
        <w:t>说明</w:t>
      </w:r>
      <w:bookmarkEnd w:id="484"/>
      <w:bookmarkEnd w:id="486"/>
      <w:bookmarkEnd w:id="487"/>
    </w:p>
    <w:bookmarkEnd w:id="485"/>
    <w:p w14:paraId="47A98B55">
      <w:pPr>
        <w:ind w:firstLine="560" w:firstLineChars="200"/>
        <w:outlineLvl w:val="1"/>
        <w:rPr>
          <w:rFonts w:ascii="Times New Roman" w:hAnsi="Times New Roman" w:eastAsia="黑体"/>
          <w:sz w:val="28"/>
          <w:szCs w:val="28"/>
        </w:rPr>
      </w:pPr>
      <w:bookmarkStart w:id="488" w:name="_Toc23947189"/>
      <w:bookmarkStart w:id="489" w:name="_Toc406438913"/>
      <w:bookmarkStart w:id="490" w:name="_Toc215740335"/>
      <w:bookmarkStart w:id="491" w:name="_Toc16035"/>
      <w:bookmarkStart w:id="492" w:name="_Toc406100171"/>
      <w:bookmarkStart w:id="493" w:name="_Toc20561"/>
      <w:bookmarkStart w:id="494" w:name="_Toc408749997"/>
      <w:bookmarkStart w:id="495" w:name="_Toc452017054"/>
      <w:bookmarkStart w:id="496" w:name="_Toc23675"/>
      <w:bookmarkStart w:id="497" w:name="一、交易信息内容"/>
      <w:r>
        <w:rPr>
          <w:rFonts w:hint="eastAsia" w:ascii="Times New Roman" w:hAnsi="Times New Roman" w:eastAsia="黑体"/>
          <w:sz w:val="28"/>
          <w:szCs w:val="28"/>
        </w:rPr>
        <w:t>一、交易信息内容</w:t>
      </w:r>
      <w:bookmarkEnd w:id="488"/>
      <w:bookmarkEnd w:id="489"/>
      <w:bookmarkEnd w:id="490"/>
      <w:bookmarkEnd w:id="491"/>
      <w:bookmarkEnd w:id="492"/>
      <w:bookmarkEnd w:id="493"/>
      <w:bookmarkEnd w:id="494"/>
      <w:bookmarkEnd w:id="495"/>
      <w:bookmarkEnd w:id="496"/>
      <w:bookmarkEnd w:id="497"/>
    </w:p>
    <w:p w14:paraId="2764059B">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本所每个交易日发布衍生品合约相关交易信息，包括交易前信息、即时行情、盘后信息、行权信息等。证券公司应及时接收本所向其发送的相关交易信息，并通过行情交易终端、公司门户网站或经纪合同约定的方式向投资者转发。</w:t>
      </w:r>
    </w:p>
    <w:p w14:paraId="139FC95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证券公司可结合本所公开发布的相关衍生品合约交易信息，向投资者提供诸如期权计算器、期权杠杆比率、期权希腊字母值等个性化交易信息。证券公司应当对个性化信息的真实性、准确性负责。</w:t>
      </w:r>
    </w:p>
    <w:p w14:paraId="3A2B9AB6">
      <w:pPr>
        <w:ind w:firstLine="560" w:firstLineChars="200"/>
        <w:outlineLvl w:val="1"/>
        <w:rPr>
          <w:rFonts w:ascii="Times New Roman" w:hAnsi="Times New Roman" w:eastAsia="黑体"/>
          <w:sz w:val="28"/>
          <w:szCs w:val="28"/>
        </w:rPr>
      </w:pPr>
      <w:bookmarkStart w:id="498" w:name="_Toc406100172"/>
      <w:bookmarkStart w:id="499" w:name="_Toc23947190"/>
      <w:bookmarkStart w:id="500" w:name="_Toc26669"/>
      <w:bookmarkStart w:id="501" w:name="_Toc2271"/>
      <w:bookmarkStart w:id="502" w:name="_Toc215740336"/>
      <w:bookmarkStart w:id="503" w:name="_Toc14548"/>
      <w:bookmarkStart w:id="504" w:name="二、信息公告与提醒"/>
      <w:bookmarkStart w:id="505" w:name="_Toc406438914"/>
      <w:bookmarkStart w:id="506" w:name="_Toc408749998"/>
      <w:bookmarkStart w:id="507" w:name="_Toc452017055"/>
      <w:r>
        <w:rPr>
          <w:rFonts w:hint="eastAsia" w:ascii="Times New Roman" w:hAnsi="Times New Roman" w:eastAsia="黑体"/>
          <w:sz w:val="28"/>
          <w:szCs w:val="28"/>
        </w:rPr>
        <w:t>二、信息公告与提醒</w:t>
      </w:r>
      <w:bookmarkEnd w:id="498"/>
      <w:bookmarkEnd w:id="499"/>
      <w:bookmarkEnd w:id="500"/>
      <w:bookmarkEnd w:id="501"/>
      <w:bookmarkEnd w:id="502"/>
      <w:bookmarkEnd w:id="503"/>
      <w:bookmarkEnd w:id="504"/>
      <w:bookmarkEnd w:id="505"/>
      <w:bookmarkEnd w:id="506"/>
      <w:bookmarkEnd w:id="507"/>
    </w:p>
    <w:p w14:paraId="571C25D9">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（一）信息公告</w:t>
      </w:r>
    </w:p>
    <w:p w14:paraId="0916E1D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当及时接收本所通过通讯系统、本所网站等渠道发布的股票期权相关信息通知公告（包括但不限于股票期权合约运作管理相关公告、股票期权风险控制相关公告等），并向投资者转发，转发、推送形式可以为公司网站公示、客户交易终端提示、邮件或经纪合同约定的方式等。</w:t>
      </w:r>
    </w:p>
    <w:p w14:paraId="7FB7A187">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证券公司应发布与其自身</w:t>
      </w:r>
      <w:r>
        <w:rPr>
          <w:rFonts w:ascii="Times New Roman" w:hAnsi="Times New Roman" w:eastAsia="仿宋_GB2312"/>
          <w:sz w:val="28"/>
          <w:szCs w:val="28"/>
        </w:rPr>
        <w:t>股票</w:t>
      </w:r>
      <w:r>
        <w:rPr>
          <w:rFonts w:hint="default" w:ascii="Times New Roman" w:hAnsi="Times New Roman" w:eastAsia="仿宋_GB2312"/>
          <w:sz w:val="28"/>
          <w:szCs w:val="28"/>
        </w:rPr>
        <w:t>期权业务相关的公告信息，如公司保证金调整、</w:t>
      </w:r>
      <w:r>
        <w:rPr>
          <w:rFonts w:ascii="Times New Roman" w:hAnsi="Times New Roman" w:eastAsia="仿宋_GB2312"/>
          <w:sz w:val="28"/>
          <w:szCs w:val="28"/>
        </w:rPr>
        <w:t>股票</w:t>
      </w:r>
      <w:r>
        <w:rPr>
          <w:rFonts w:hint="default" w:ascii="Times New Roman" w:hAnsi="Times New Roman" w:eastAsia="仿宋_GB2312"/>
          <w:sz w:val="28"/>
          <w:szCs w:val="28"/>
        </w:rPr>
        <w:t>期权交易手续费调整等。公告形式可以为证券公司公司网站公示、客户交易终端提示、发送邮件或经纪合同约定的方式等。</w:t>
      </w:r>
    </w:p>
    <w:p w14:paraId="378560FF">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（二）信息提醒</w:t>
      </w:r>
    </w:p>
    <w:p w14:paraId="69C58112">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1.证券公司应对客户参与</w:t>
      </w:r>
      <w:r>
        <w:rPr>
          <w:rFonts w:ascii="Times New Roman" w:hAnsi="Times New Roman" w:eastAsia="仿宋_GB2312"/>
          <w:sz w:val="28"/>
          <w:szCs w:val="28"/>
        </w:rPr>
        <w:t>股票</w:t>
      </w:r>
      <w:r>
        <w:rPr>
          <w:rFonts w:hint="default" w:ascii="Times New Roman" w:hAnsi="Times New Roman" w:eastAsia="仿宋_GB2312"/>
          <w:sz w:val="28"/>
          <w:szCs w:val="28"/>
        </w:rPr>
        <w:t>期权交易有关事项进行提醒，内容包括但不限于：距离到期日不足3个交易日的</w:t>
      </w:r>
      <w:r>
        <w:rPr>
          <w:rFonts w:ascii="Times New Roman" w:hAnsi="Times New Roman" w:eastAsia="仿宋_GB2312"/>
          <w:sz w:val="28"/>
          <w:szCs w:val="28"/>
        </w:rPr>
        <w:t>股票</w:t>
      </w:r>
      <w:r>
        <w:rPr>
          <w:rFonts w:hint="default" w:ascii="Times New Roman" w:hAnsi="Times New Roman" w:eastAsia="仿宋_GB2312"/>
          <w:sz w:val="28"/>
          <w:szCs w:val="28"/>
        </w:rPr>
        <w:t>期权合约信息；合约运作管理；近期进行合约调整的</w:t>
      </w:r>
      <w:r>
        <w:rPr>
          <w:rFonts w:ascii="Times New Roman" w:hAnsi="Times New Roman" w:eastAsia="仿宋_GB2312"/>
          <w:sz w:val="28"/>
          <w:szCs w:val="28"/>
        </w:rPr>
        <w:t>股票</w:t>
      </w:r>
      <w:r>
        <w:rPr>
          <w:rFonts w:hint="default" w:ascii="Times New Roman" w:hAnsi="Times New Roman" w:eastAsia="仿宋_GB2312"/>
          <w:sz w:val="28"/>
          <w:szCs w:val="28"/>
        </w:rPr>
        <w:t>期权合约信息（持续到调整后5个交易日或摘牌）；保证金参数水平调整；</w:t>
      </w:r>
      <w:r>
        <w:rPr>
          <w:rFonts w:ascii="Times New Roman" w:hAnsi="Times New Roman" w:eastAsia="仿宋_GB2312"/>
          <w:sz w:val="28"/>
          <w:szCs w:val="28"/>
        </w:rPr>
        <w:t>股票</w:t>
      </w:r>
      <w:r>
        <w:rPr>
          <w:rFonts w:hint="default" w:ascii="Times New Roman" w:hAnsi="Times New Roman" w:eastAsia="仿宋_GB2312"/>
          <w:sz w:val="28"/>
          <w:szCs w:val="28"/>
        </w:rPr>
        <w:t>期权手续费调整；重点监控</w:t>
      </w:r>
      <w:r>
        <w:rPr>
          <w:rFonts w:ascii="Times New Roman" w:hAnsi="Times New Roman" w:eastAsia="仿宋_GB2312"/>
          <w:sz w:val="28"/>
          <w:szCs w:val="28"/>
        </w:rPr>
        <w:t>股票</w:t>
      </w:r>
      <w:r>
        <w:rPr>
          <w:rFonts w:hint="default" w:ascii="Times New Roman" w:hAnsi="Times New Roman" w:eastAsia="仿宋_GB2312"/>
          <w:sz w:val="28"/>
          <w:szCs w:val="28"/>
        </w:rPr>
        <w:t>期权合约交易风险；其他本所或证券公司认为有必要向投资者进行提醒的事项。</w:t>
      </w:r>
    </w:p>
    <w:p w14:paraId="1EB5D226">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2.证券公司应对相关持仓客户进行如下提醒（提醒方式可以为客户交易终端提醒、电子邮件、短信、电话等）：备兑持仓标的证券不足提醒；持有快到期或到期合约的临近行权提醒；持有快到期合约的被行权可能提醒；被指派行权提醒；证券交收日，交收证券不足提醒（电话提醒并督促其补足应交标的证券数量）；其他本所或证券公司认为有必要向投资者进行提醒的事项。</w:t>
      </w:r>
    </w:p>
    <w:p w14:paraId="526752B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3.交易委托提醒</w:t>
      </w:r>
    </w:p>
    <w:p w14:paraId="2B658C9A">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证券公司的客户交易终端应支持在客户提交包括但不限于以下交易委托时，弹出窗口（对同一合约交易可设置只提醒一次）进行提醒：严重虚值期权买入开仓委托；临近到期期权买入开仓委托；合约调整过的</w:t>
      </w:r>
      <w:r>
        <w:rPr>
          <w:rFonts w:ascii="Times New Roman" w:hAnsi="Times New Roman" w:eastAsia="仿宋_GB2312"/>
          <w:sz w:val="28"/>
          <w:szCs w:val="28"/>
        </w:rPr>
        <w:t>股票</w:t>
      </w:r>
      <w:r>
        <w:rPr>
          <w:rFonts w:hint="default" w:ascii="Times New Roman" w:hAnsi="Times New Roman" w:eastAsia="仿宋_GB2312"/>
          <w:sz w:val="28"/>
          <w:szCs w:val="28"/>
        </w:rPr>
        <w:t>期权买入开仓委托；合约为虚值的行权委托；标的证券不足的备兑开仓委托；其他本所或证券公司认为有必要向投资者进行提醒的事项。</w:t>
      </w:r>
    </w:p>
    <w:p w14:paraId="74D3B13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4.证券公司可根据投资者的资金状况、交易活跃程度、异常交易结算行为发生频率、收到本所警示次数以及是否为本所重点监控账户等情况，对投资者进行分类管理，在市场出现</w:t>
      </w:r>
      <w:r>
        <w:rPr>
          <w:rFonts w:ascii="Times New Roman" w:hAnsi="Times New Roman" w:eastAsia="仿宋_GB2312"/>
          <w:sz w:val="28"/>
          <w:szCs w:val="28"/>
        </w:rPr>
        <w:t>股票</w:t>
      </w:r>
      <w:r>
        <w:rPr>
          <w:rFonts w:hint="default" w:ascii="Times New Roman" w:hAnsi="Times New Roman" w:eastAsia="仿宋_GB2312"/>
          <w:sz w:val="28"/>
          <w:szCs w:val="28"/>
        </w:rPr>
        <w:t>期权价格大幅波动时，及时向投资者提示投资风险。</w:t>
      </w:r>
    </w:p>
    <w:p w14:paraId="77BA9AF8">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5.建议证券公司在相关信息技术系统突发事件应急处置方案中，制定股票期权合约信息相关突发故障的处理措施，确保投资者在突发事件时能够及时知晓股票期权相关交易与提醒信息。</w:t>
      </w:r>
    </w:p>
    <w:p w14:paraId="2FC3A3E8">
      <w:pPr>
        <w:ind w:firstLine="560" w:firstLineChars="200"/>
        <w:outlineLvl w:val="1"/>
        <w:rPr>
          <w:rFonts w:ascii="Times New Roman" w:hAnsi="Times New Roman" w:eastAsia="黑体"/>
          <w:sz w:val="28"/>
          <w:szCs w:val="28"/>
        </w:rPr>
      </w:pPr>
      <w:bookmarkStart w:id="508" w:name="三、期权基础信息接口文件说明"/>
      <w:bookmarkStart w:id="509" w:name="_Toc452017056"/>
      <w:bookmarkStart w:id="510" w:name="_Toc215740337"/>
      <w:bookmarkStart w:id="511" w:name="_Toc23947191"/>
      <w:r>
        <w:rPr>
          <w:rFonts w:hint="eastAsia" w:ascii="Times New Roman" w:hAnsi="Times New Roman" w:eastAsia="黑体"/>
          <w:sz w:val="28"/>
          <w:szCs w:val="28"/>
        </w:rPr>
        <w:t>三、</w:t>
      </w:r>
      <w:r>
        <w:rPr>
          <w:rFonts w:ascii="Times New Roman" w:hAnsi="Times New Roman" w:eastAsia="黑体"/>
          <w:sz w:val="28"/>
          <w:szCs w:val="28"/>
        </w:rPr>
        <w:t>股票</w:t>
      </w:r>
      <w:r>
        <w:rPr>
          <w:rFonts w:hint="eastAsia" w:ascii="Times New Roman" w:hAnsi="Times New Roman" w:eastAsia="黑体"/>
          <w:sz w:val="28"/>
          <w:szCs w:val="28"/>
        </w:rPr>
        <w:t>期权基础信息接口文件说明</w:t>
      </w:r>
      <w:bookmarkEnd w:id="508"/>
      <w:bookmarkEnd w:id="509"/>
      <w:bookmarkEnd w:id="510"/>
      <w:bookmarkEnd w:id="511"/>
    </w:p>
    <w:p w14:paraId="35182FB9">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本所每日向证券公司发送</w:t>
      </w:r>
      <w:r>
        <w:rPr>
          <w:rFonts w:ascii="Times New Roman" w:hAnsi="Times New Roman" w:eastAsia="仿宋_GB2312"/>
          <w:sz w:val="28"/>
          <w:szCs w:val="28"/>
        </w:rPr>
        <w:t>股票</w:t>
      </w:r>
      <w:r>
        <w:rPr>
          <w:rFonts w:hint="default" w:ascii="Times New Roman" w:hAnsi="Times New Roman" w:eastAsia="仿宋_GB2312"/>
          <w:sz w:val="28"/>
          <w:szCs w:val="28"/>
        </w:rPr>
        <w:t>期权基础信息接口文件（文件名称：</w:t>
      </w:r>
      <w:r>
        <w:rPr>
          <w:rFonts w:hint="eastAsia" w:ascii="仿宋_GB2312" w:eastAsia="仿宋_GB2312"/>
          <w:color w:val="000000"/>
          <w:sz w:val="28"/>
          <w:szCs w:val="28"/>
        </w:rPr>
        <w:t>reff0302YYYYMMDD.xml</w:t>
      </w:r>
      <w:r>
        <w:rPr>
          <w:rFonts w:hint="eastAsia" w:ascii="仿宋_GB2312" w:eastAsia="仿宋_GB2312"/>
          <w:color w:val="000000"/>
          <w:sz w:val="28"/>
          <w:szCs w:val="28"/>
          <w:lang w:val="en-US" w:eastAsia="zh-CN"/>
        </w:rPr>
        <w:t>和</w:t>
      </w:r>
      <w:r>
        <w:rPr>
          <w:rFonts w:hint="eastAsia" w:ascii="仿宋_GB2312" w:eastAsia="仿宋_GB2312"/>
          <w:color w:val="000000"/>
          <w:sz w:val="28"/>
          <w:szCs w:val="28"/>
        </w:rPr>
        <w:t>reff03MMDD.txt</w:t>
      </w:r>
      <w:r>
        <w:rPr>
          <w:rStyle w:val="40"/>
          <w:rFonts w:hint="eastAsia" w:ascii="仿宋_GB2312" w:eastAsia="仿宋_GB2312"/>
          <w:color w:val="000000"/>
          <w:sz w:val="28"/>
          <w:szCs w:val="28"/>
        </w:rPr>
        <w:footnoteReference w:id="0"/>
      </w:r>
      <w:r>
        <w:rPr>
          <w:rFonts w:hint="default" w:ascii="Times New Roman" w:hAnsi="Times New Roman" w:eastAsia="仿宋_GB2312"/>
          <w:sz w:val="28"/>
          <w:szCs w:val="28"/>
        </w:rPr>
        <w:t>，以下简称</w:t>
      </w:r>
      <w:r>
        <w:rPr>
          <w:rFonts w:hint="eastAsia" w:ascii="仿宋_GB2312" w:eastAsia="仿宋_GB2312"/>
          <w:color w:val="000000"/>
          <w:sz w:val="28"/>
          <w:szCs w:val="28"/>
        </w:rPr>
        <w:t>期权reff文件</w:t>
      </w:r>
      <w:r>
        <w:rPr>
          <w:rFonts w:hint="default" w:ascii="Times New Roman" w:hAnsi="Times New Roman" w:eastAsia="仿宋_GB2312"/>
          <w:sz w:val="28"/>
          <w:szCs w:val="28"/>
        </w:rPr>
        <w:t>）。</w:t>
      </w:r>
      <w:r>
        <w:rPr>
          <w:rFonts w:hint="eastAsia" w:ascii="仿宋_GB2312" w:eastAsia="仿宋_GB2312"/>
          <w:color w:val="000000"/>
          <w:sz w:val="28"/>
          <w:szCs w:val="28"/>
        </w:rPr>
        <w:t>reff0302YYYYMMDD.xml文件包含</w:t>
      </w:r>
      <w:r>
        <w:rPr>
          <w:rFonts w:hint="eastAsia" w:ascii="仿宋_GB2312" w:eastAsia="仿宋_GB2312"/>
          <w:color w:val="000000"/>
          <w:sz w:val="28"/>
          <w:szCs w:val="28"/>
          <w:lang w:val="en-US" w:eastAsia="zh-CN"/>
        </w:rPr>
        <w:t>36</w:t>
      </w:r>
      <w:r>
        <w:rPr>
          <w:rFonts w:hint="eastAsia" w:ascii="仿宋_GB2312" w:eastAsia="仿宋_GB2312"/>
          <w:color w:val="000000"/>
          <w:sz w:val="28"/>
          <w:szCs w:val="28"/>
        </w:rPr>
        <w:t>个字段，reff03MMDD.txt文件包含</w:t>
      </w:r>
      <w:r>
        <w:rPr>
          <w:rFonts w:hint="eastAsia" w:ascii="仿宋_GB2312" w:eastAsia="仿宋_GB2312"/>
          <w:color w:val="000000"/>
          <w:sz w:val="28"/>
          <w:szCs w:val="28"/>
          <w:lang w:val="en-US" w:eastAsia="zh-CN"/>
        </w:rPr>
        <w:t>35</w:t>
      </w:r>
      <w:r>
        <w:rPr>
          <w:rFonts w:hint="eastAsia" w:ascii="仿宋_GB2312" w:eastAsia="仿宋_GB2312"/>
          <w:color w:val="000000"/>
          <w:sz w:val="28"/>
          <w:szCs w:val="28"/>
        </w:rPr>
        <w:t>个字段，</w:t>
      </w:r>
      <w:r>
        <w:rPr>
          <w:rFonts w:hint="default" w:ascii="Times New Roman" w:hAnsi="Times New Roman" w:eastAsia="仿宋_GB2312"/>
          <w:sz w:val="28"/>
          <w:szCs w:val="28"/>
        </w:rPr>
        <w:t>现说明如下：</w:t>
      </w:r>
    </w:p>
    <w:p w14:paraId="6652EBFC">
      <w:pPr>
        <w:ind w:firstLine="560" w:firstLineChars="200"/>
        <w:rPr>
          <w:rFonts w:ascii="Times New Roman" w:hAnsi="Times New Roman" w:eastAsia="楷体_GB2312"/>
          <w:sz w:val="28"/>
          <w:szCs w:val="28"/>
        </w:rPr>
      </w:pPr>
      <w:r>
        <w:rPr>
          <w:rFonts w:ascii="Times New Roman" w:hAnsi="Times New Roman" w:eastAsia="楷体_GB2312"/>
          <w:sz w:val="28"/>
          <w:szCs w:val="28"/>
        </w:rPr>
        <w:t>（</w:t>
      </w:r>
      <w:r>
        <w:rPr>
          <w:rFonts w:hint="default" w:ascii="Times New Roman" w:hAnsi="Times New Roman" w:eastAsia="楷体_GB2312"/>
          <w:sz w:val="28"/>
          <w:szCs w:val="28"/>
        </w:rPr>
        <w:t>一</w:t>
      </w:r>
      <w:r>
        <w:rPr>
          <w:rFonts w:ascii="Times New Roman" w:hAnsi="Times New Roman" w:eastAsia="楷体_GB2312"/>
          <w:sz w:val="28"/>
          <w:szCs w:val="28"/>
        </w:rPr>
        <w:t>）</w:t>
      </w:r>
      <w:r>
        <w:rPr>
          <w:rFonts w:hint="default" w:ascii="Times New Roman" w:hAnsi="Times New Roman" w:eastAsia="楷体_GB2312"/>
          <w:sz w:val="28"/>
          <w:szCs w:val="28"/>
        </w:rPr>
        <w:t>合约品种通用类字段</w:t>
      </w:r>
    </w:p>
    <w:p w14:paraId="4670D53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合约品种通用类字段内容适用同一</w:t>
      </w:r>
      <w:r>
        <w:rPr>
          <w:rFonts w:ascii="Times New Roman" w:hAnsi="Times New Roman" w:eastAsia="仿宋_GB2312"/>
          <w:sz w:val="28"/>
          <w:szCs w:val="28"/>
        </w:rPr>
        <w:t>股票</w:t>
      </w:r>
      <w:r>
        <w:rPr>
          <w:rFonts w:hint="default" w:ascii="Times New Roman" w:hAnsi="Times New Roman" w:eastAsia="仿宋_GB2312"/>
          <w:sz w:val="28"/>
          <w:szCs w:val="28"/>
        </w:rPr>
        <w:t>期权合约品种，包括：欧式美式、保证金计算比例参数一、保证金计算比例参数二、整手数、单笔限价申报下限、单笔限价申报上限、单笔市价申报下限、单笔市价申报上限、最小报价单位，共9个。</w:t>
      </w:r>
    </w:p>
    <w:p w14:paraId="75ED77DF">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该类字段均根据本所现行业务规则或通知设置。若业务规则未发生变化，该类字段内容保持不变；该类字段内容发生调整时，本所将向市场发布公告，并及时告知期权经营机构。期权经营机构应能够在期权系统中对字段内容进行实时统一调整。</w:t>
      </w:r>
    </w:p>
    <w:p w14:paraId="2CFA7EBB">
      <w:pPr>
        <w:ind w:firstLine="560" w:firstLineChars="200"/>
        <w:rPr>
          <w:rFonts w:ascii="Times New Roman" w:hAnsi="Times New Roman" w:eastAsia="楷体_GB2312"/>
          <w:sz w:val="28"/>
          <w:szCs w:val="28"/>
        </w:rPr>
      </w:pPr>
      <w:r>
        <w:rPr>
          <w:rFonts w:ascii="Times New Roman" w:hAnsi="Times New Roman" w:eastAsia="楷体_GB2312"/>
          <w:sz w:val="28"/>
          <w:szCs w:val="28"/>
        </w:rPr>
        <w:t>（</w:t>
      </w:r>
      <w:r>
        <w:rPr>
          <w:rFonts w:hint="default" w:ascii="Times New Roman" w:hAnsi="Times New Roman" w:eastAsia="楷体_GB2312"/>
          <w:sz w:val="28"/>
          <w:szCs w:val="28"/>
        </w:rPr>
        <w:t>二</w:t>
      </w:r>
      <w:r>
        <w:rPr>
          <w:rFonts w:ascii="Times New Roman" w:hAnsi="Times New Roman" w:eastAsia="楷体_GB2312"/>
          <w:sz w:val="28"/>
          <w:szCs w:val="28"/>
        </w:rPr>
        <w:t>）</w:t>
      </w:r>
      <w:r>
        <w:rPr>
          <w:rFonts w:hint="default" w:ascii="Times New Roman" w:hAnsi="Times New Roman" w:eastAsia="楷体_GB2312"/>
          <w:sz w:val="28"/>
          <w:szCs w:val="28"/>
        </w:rPr>
        <w:t>合约个性类字段</w:t>
      </w:r>
    </w:p>
    <w:p w14:paraId="781ABB8B">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合约个性类字段内容根据</w:t>
      </w:r>
      <w:r>
        <w:rPr>
          <w:rFonts w:hint="eastAsia" w:ascii="Times New Roman" w:hAnsi="Times New Roman" w:eastAsia="仿宋_GB2312"/>
          <w:sz w:val="28"/>
          <w:szCs w:val="28"/>
        </w:rPr>
        <w:t>股票</w:t>
      </w:r>
      <w:r>
        <w:rPr>
          <w:rFonts w:hint="default" w:ascii="Times New Roman" w:hAnsi="Times New Roman" w:eastAsia="仿宋_GB2312"/>
          <w:sz w:val="28"/>
          <w:szCs w:val="28"/>
        </w:rPr>
        <w:t>期权合约个性化产生，包括：合约编码、合约交易代码、</w:t>
      </w:r>
      <w:r>
        <w:rPr>
          <w:rFonts w:hint="eastAsia" w:ascii="Times New Roman" w:hAnsi="Times New Roman" w:eastAsia="仿宋_GB2312"/>
          <w:sz w:val="28"/>
          <w:szCs w:val="28"/>
        </w:rPr>
        <w:t>股票</w:t>
      </w:r>
      <w:r>
        <w:rPr>
          <w:rFonts w:hint="default" w:ascii="Times New Roman" w:hAnsi="Times New Roman" w:eastAsia="仿宋_GB2312"/>
          <w:sz w:val="28"/>
          <w:szCs w:val="28"/>
        </w:rPr>
        <w:t>期权合约简称、认购认沽、合约单位、期权行权价、首个交易日、最后交易日、期权行权日、行权交割日、期权到期日、合约版本号、当前未平仓合约数、合约前收盘价、合约前结算价、涨幅上限价格、跌幅下限价格、单位保证金，共18个。</w:t>
      </w:r>
    </w:p>
    <w:p w14:paraId="5CDAB00C">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期权经营机构可以通过本所发送的</w:t>
      </w:r>
      <w:r>
        <w:rPr>
          <w:rFonts w:hint="eastAsia" w:ascii="仿宋_GB2312" w:hAnsi="Times New Roman" w:eastAsia="仿宋_GB2312" w:cs="仿宋_GB2312"/>
          <w:sz w:val="28"/>
          <w:szCs w:val="28"/>
        </w:rPr>
        <w:t>期权reff文件</w:t>
      </w:r>
      <w:r>
        <w:rPr>
          <w:rFonts w:hint="default" w:ascii="Times New Roman" w:hAnsi="Times New Roman" w:eastAsia="仿宋_GB2312"/>
          <w:sz w:val="28"/>
          <w:szCs w:val="28"/>
        </w:rPr>
        <w:t>获取该类字段内容，但应能够在期权系统中根据</w:t>
      </w:r>
      <w:r>
        <w:rPr>
          <w:rFonts w:hint="eastAsia" w:ascii="Times New Roman" w:hAnsi="Times New Roman" w:eastAsia="仿宋_GB2312"/>
          <w:sz w:val="28"/>
          <w:szCs w:val="28"/>
        </w:rPr>
        <w:t>股票</w:t>
      </w:r>
      <w:r>
        <w:rPr>
          <w:rFonts w:hint="default" w:ascii="Times New Roman" w:hAnsi="Times New Roman" w:eastAsia="仿宋_GB2312"/>
          <w:sz w:val="28"/>
          <w:szCs w:val="28"/>
        </w:rPr>
        <w:t>期权合约对该类字段内容进行实时个性化调整。</w:t>
      </w:r>
    </w:p>
    <w:p w14:paraId="482D73D1">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其中，对于“单位保证金”、“涨幅上限价格”、“跌幅下限价格”字段，期权经营机构可根据本所发布的业务规则计算并设置。当本所对发送的</w:t>
      </w:r>
      <w:r>
        <w:rPr>
          <w:rFonts w:hint="eastAsia" w:ascii="仿宋_GB2312" w:hAnsi="Times New Roman" w:eastAsia="仿宋_GB2312" w:cs="仿宋_GB2312"/>
          <w:sz w:val="28"/>
          <w:szCs w:val="28"/>
        </w:rPr>
        <w:t>期权reff文件</w:t>
      </w:r>
      <w:r>
        <w:rPr>
          <w:rFonts w:hint="default" w:ascii="Times New Roman" w:hAnsi="Times New Roman" w:eastAsia="仿宋_GB2312"/>
          <w:sz w:val="28"/>
          <w:szCs w:val="28"/>
        </w:rPr>
        <w:t>数据进行调整时，将及时告知期权经营机构。</w:t>
      </w:r>
    </w:p>
    <w:p w14:paraId="6C516283">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对于“认购认沽”、“期权行权价”字段，期权经营机构可以通过“合约交易代码”或“期权合约简称”字段获取前述字段内容。</w:t>
      </w:r>
    </w:p>
    <w:p w14:paraId="581D8D6D">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对于“首个交易日”、“合约版本号”、“合约前收盘价”字段，其内容仅提供</w:t>
      </w:r>
      <w:r>
        <w:rPr>
          <w:rFonts w:hint="eastAsia" w:ascii="Times New Roman" w:hAnsi="Times New Roman" w:eastAsia="仿宋_GB2312"/>
          <w:sz w:val="28"/>
          <w:szCs w:val="28"/>
        </w:rPr>
        <w:t>股票</w:t>
      </w:r>
      <w:r>
        <w:rPr>
          <w:rFonts w:hint="default" w:ascii="Times New Roman" w:hAnsi="Times New Roman" w:eastAsia="仿宋_GB2312"/>
          <w:sz w:val="28"/>
          <w:szCs w:val="28"/>
        </w:rPr>
        <w:t>期权合约的辅助信息，不影响期权经营机构</w:t>
      </w:r>
      <w:r>
        <w:rPr>
          <w:rFonts w:ascii="Times New Roman" w:hAnsi="Times New Roman" w:eastAsia="仿宋_GB2312"/>
          <w:sz w:val="28"/>
          <w:szCs w:val="28"/>
        </w:rPr>
        <w:t>股票</w:t>
      </w:r>
      <w:r>
        <w:rPr>
          <w:rFonts w:hint="default" w:ascii="Times New Roman" w:hAnsi="Times New Roman" w:eastAsia="仿宋_GB2312"/>
          <w:sz w:val="28"/>
          <w:szCs w:val="28"/>
        </w:rPr>
        <w:t>期权系统的正常运行。</w:t>
      </w:r>
    </w:p>
    <w:p w14:paraId="7DCF4D5F">
      <w:pPr>
        <w:ind w:firstLine="560" w:firstLineChars="200"/>
        <w:rPr>
          <w:rFonts w:ascii="Times New Roman" w:hAnsi="Times New Roman" w:eastAsia="楷体_GB2312"/>
          <w:sz w:val="28"/>
          <w:szCs w:val="28"/>
        </w:rPr>
      </w:pPr>
      <w:r>
        <w:rPr>
          <w:rFonts w:ascii="Times New Roman" w:hAnsi="Times New Roman" w:eastAsia="楷体_GB2312"/>
          <w:sz w:val="28"/>
          <w:szCs w:val="28"/>
        </w:rPr>
        <w:t>（</w:t>
      </w:r>
      <w:r>
        <w:rPr>
          <w:rFonts w:hint="default" w:ascii="Times New Roman" w:hAnsi="Times New Roman" w:eastAsia="楷体_GB2312"/>
          <w:sz w:val="28"/>
          <w:szCs w:val="28"/>
        </w:rPr>
        <w:t>三</w:t>
      </w:r>
      <w:r>
        <w:rPr>
          <w:rFonts w:ascii="Times New Roman" w:hAnsi="Times New Roman" w:eastAsia="楷体_GB2312"/>
          <w:sz w:val="28"/>
          <w:szCs w:val="28"/>
        </w:rPr>
        <w:t>）</w:t>
      </w:r>
      <w:r>
        <w:rPr>
          <w:rFonts w:hint="default" w:ascii="Times New Roman" w:hAnsi="Times New Roman" w:eastAsia="楷体_GB2312"/>
          <w:sz w:val="28"/>
          <w:szCs w:val="28"/>
        </w:rPr>
        <w:t>标的类字段</w:t>
      </w:r>
    </w:p>
    <w:p w14:paraId="596F7126">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标的类字段提供合约标的信息，</w:t>
      </w:r>
      <w:r>
        <w:rPr>
          <w:rFonts w:hint="eastAsia" w:ascii="仿宋_GB2312" w:eastAsia="仿宋_GB2312"/>
          <w:color w:val="000000"/>
          <w:sz w:val="28"/>
          <w:szCs w:val="28"/>
        </w:rPr>
        <w:t>reff0302YYYYMMDD.xml</w:t>
      </w:r>
      <w:r>
        <w:rPr>
          <w:rFonts w:hint="eastAsia" w:ascii="仿宋_GB2312" w:eastAsia="仿宋_GB2312"/>
          <w:color w:val="000000"/>
          <w:sz w:val="28"/>
          <w:szCs w:val="28"/>
          <w:lang w:val="en-US" w:eastAsia="zh-CN"/>
        </w:rPr>
        <w:t>文件</w:t>
      </w:r>
      <w:r>
        <w:rPr>
          <w:rFonts w:hint="eastAsia" w:ascii="仿宋_GB2312" w:hAnsi="Times New Roman" w:eastAsia="仿宋_GB2312" w:cs="仿宋_GB2312"/>
          <w:sz w:val="28"/>
          <w:szCs w:val="28"/>
        </w:rPr>
        <w:t>包括：标的证券代码、基础证券名称、基础证券</w:t>
      </w:r>
      <w:r>
        <w:rPr>
          <w:rFonts w:hint="eastAsia" w:ascii="仿宋_GB2312" w:hAnsi="Times New Roman" w:eastAsia="仿宋_GB2312" w:cs="仿宋_GB2312"/>
          <w:sz w:val="28"/>
          <w:szCs w:val="28"/>
          <w:lang w:val="en-US" w:eastAsia="zh-CN"/>
        </w:rPr>
        <w:t>证券</w:t>
      </w:r>
      <w:r>
        <w:rPr>
          <w:rFonts w:hint="eastAsia" w:ascii="仿宋_GB2312" w:hAnsi="Times New Roman" w:eastAsia="仿宋_GB2312" w:cs="仿宋_GB2312"/>
          <w:sz w:val="28"/>
          <w:szCs w:val="28"/>
        </w:rPr>
        <w:t>名称</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lang w:val="en-US" w:eastAsia="zh-CN"/>
        </w:rPr>
        <w:t>长）</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rPr>
        <w:t>标的证券类型、标的证券前收盘，共</w:t>
      </w:r>
      <w:r>
        <w:rPr>
          <w:rFonts w:hint="eastAsia" w:ascii="仿宋_GB2312" w:hAnsi="Times New Roman" w:eastAsia="仿宋_GB2312" w:cs="仿宋_GB2312"/>
          <w:sz w:val="28"/>
          <w:szCs w:val="28"/>
          <w:lang w:val="en-US" w:eastAsia="zh-CN"/>
        </w:rPr>
        <w:t>5</w:t>
      </w:r>
      <w:r>
        <w:rPr>
          <w:rFonts w:hint="eastAsia" w:ascii="仿宋_GB2312" w:hAnsi="Times New Roman" w:eastAsia="仿宋_GB2312" w:cs="仿宋_GB2312"/>
          <w:sz w:val="28"/>
          <w:szCs w:val="28"/>
        </w:rPr>
        <w:t>个。标的类字段提供合约标的信息，</w:t>
      </w:r>
      <w:r>
        <w:rPr>
          <w:rFonts w:hint="eastAsia" w:ascii="仿宋_GB2312" w:eastAsia="仿宋_GB2312"/>
          <w:color w:val="000000"/>
          <w:sz w:val="28"/>
          <w:szCs w:val="28"/>
        </w:rPr>
        <w:t>reff03MMDD.txt</w:t>
      </w:r>
      <w:r>
        <w:rPr>
          <w:rFonts w:hint="eastAsia" w:ascii="仿宋_GB2312" w:eastAsia="仿宋_GB2312"/>
          <w:color w:val="000000"/>
          <w:sz w:val="28"/>
          <w:szCs w:val="28"/>
          <w:lang w:val="en-US" w:eastAsia="zh-CN"/>
        </w:rPr>
        <w:t>文件</w:t>
      </w:r>
      <w:r>
        <w:rPr>
          <w:rFonts w:hint="eastAsia" w:ascii="仿宋_GB2312" w:hAnsi="Times New Roman" w:eastAsia="仿宋_GB2312" w:cs="仿宋_GB2312"/>
          <w:sz w:val="28"/>
          <w:szCs w:val="28"/>
        </w:rPr>
        <w:t>包括：标的证券代码、基础证券名称、标的证券类型、标的证券前收盘，共4个。</w:t>
      </w:r>
      <w:r>
        <w:rPr>
          <w:rFonts w:hint="default" w:ascii="Times New Roman" w:hAnsi="Times New Roman" w:eastAsia="仿宋_GB2312"/>
          <w:sz w:val="28"/>
          <w:szCs w:val="28"/>
        </w:rPr>
        <w:t>期权经营机构可以从现货行情获取该类字段内容，并应能够在</w:t>
      </w:r>
      <w:r>
        <w:rPr>
          <w:rFonts w:ascii="Times New Roman" w:hAnsi="Times New Roman" w:eastAsia="仿宋_GB2312"/>
          <w:sz w:val="28"/>
          <w:szCs w:val="28"/>
        </w:rPr>
        <w:t>股票</w:t>
      </w:r>
      <w:r>
        <w:rPr>
          <w:rFonts w:hint="default" w:ascii="Times New Roman" w:hAnsi="Times New Roman" w:eastAsia="仿宋_GB2312"/>
          <w:sz w:val="28"/>
          <w:szCs w:val="28"/>
        </w:rPr>
        <w:t>期权系统中对该类字段内容进行实时调整。</w:t>
      </w:r>
    </w:p>
    <w:p w14:paraId="188AE0D6">
      <w:pPr>
        <w:ind w:firstLine="560" w:firstLineChars="200"/>
        <w:rPr>
          <w:rFonts w:ascii="Times New Roman" w:hAnsi="Times New Roman" w:eastAsia="楷体_GB2312"/>
          <w:sz w:val="28"/>
          <w:szCs w:val="28"/>
        </w:rPr>
      </w:pPr>
      <w:r>
        <w:rPr>
          <w:rFonts w:ascii="Times New Roman" w:hAnsi="Times New Roman" w:eastAsia="楷体_GB2312"/>
          <w:sz w:val="28"/>
          <w:szCs w:val="28"/>
        </w:rPr>
        <w:t>（</w:t>
      </w:r>
      <w:r>
        <w:rPr>
          <w:rFonts w:hint="default" w:ascii="Times New Roman" w:hAnsi="Times New Roman" w:eastAsia="楷体_GB2312"/>
          <w:sz w:val="28"/>
          <w:szCs w:val="28"/>
        </w:rPr>
        <w:t>四</w:t>
      </w:r>
      <w:r>
        <w:rPr>
          <w:rFonts w:ascii="Times New Roman" w:hAnsi="Times New Roman" w:eastAsia="楷体_GB2312"/>
          <w:sz w:val="28"/>
          <w:szCs w:val="28"/>
        </w:rPr>
        <w:t>）</w:t>
      </w:r>
      <w:r>
        <w:rPr>
          <w:rFonts w:hint="default" w:ascii="Times New Roman" w:hAnsi="Times New Roman" w:eastAsia="楷体_GB2312"/>
          <w:sz w:val="28"/>
          <w:szCs w:val="28"/>
        </w:rPr>
        <w:t>其他类字段</w:t>
      </w:r>
    </w:p>
    <w:p w14:paraId="0ED7F180">
      <w:pPr>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其他类字段内容为辅助信息，包括：涨跌幅限制类型、参考数据类型、</w:t>
      </w:r>
      <w:r>
        <w:rPr>
          <w:rFonts w:hint="eastAsia" w:ascii="Times New Roman" w:hAnsi="Times New Roman" w:eastAsia="仿宋_GB2312"/>
          <w:sz w:val="28"/>
          <w:szCs w:val="28"/>
        </w:rPr>
        <w:t>股票</w:t>
      </w:r>
      <w:r>
        <w:rPr>
          <w:rFonts w:hint="default" w:ascii="Times New Roman" w:hAnsi="Times New Roman" w:eastAsia="仿宋_GB2312"/>
          <w:sz w:val="28"/>
          <w:szCs w:val="28"/>
        </w:rPr>
        <w:t>期权合约状态信息标签，共3个。该类字段不影响经营机构</w:t>
      </w:r>
      <w:r>
        <w:rPr>
          <w:rFonts w:ascii="Times New Roman" w:hAnsi="Times New Roman" w:eastAsia="仿宋_GB2312"/>
          <w:sz w:val="28"/>
          <w:szCs w:val="28"/>
        </w:rPr>
        <w:t>股票</w:t>
      </w:r>
      <w:r>
        <w:rPr>
          <w:rFonts w:hint="default" w:ascii="Times New Roman" w:hAnsi="Times New Roman" w:eastAsia="仿宋_GB2312"/>
          <w:sz w:val="28"/>
          <w:szCs w:val="28"/>
        </w:rPr>
        <w:t>期权系统的正常运行。</w:t>
      </w:r>
    </w:p>
    <w:p w14:paraId="71C1CC2C">
      <w:pPr>
        <w:widowControl/>
        <w:jc w:val="left"/>
        <w:rPr>
          <w:rFonts w:ascii="Times New Roman" w:hAnsi="Times New Roman" w:eastAsia="黑体"/>
          <w:b/>
          <w:bCs/>
          <w:sz w:val="32"/>
          <w:szCs w:val="32"/>
        </w:rPr>
      </w:pPr>
      <w:bookmarkStart w:id="512" w:name="_Toc23947192"/>
      <w:bookmarkStart w:id="513" w:name="_Toc406438955"/>
      <w:bookmarkStart w:id="514" w:name="_Toc8959"/>
      <w:bookmarkStart w:id="515" w:name="_Toc452017057"/>
      <w:bookmarkStart w:id="516" w:name="_Toc406439140"/>
      <w:bookmarkStart w:id="517" w:name="第十七章投资者教育与客户投诉处理"/>
      <w:bookmarkStart w:id="518" w:name="_Toc408750006"/>
      <w:bookmarkStart w:id="519" w:name="_Toc23432"/>
      <w:bookmarkStart w:id="520" w:name="_Toc20182"/>
      <w:bookmarkStart w:id="521" w:name="_Toc406438923"/>
      <w:bookmarkStart w:id="522" w:name="_Toc406436506"/>
      <w:r>
        <w:rPr>
          <w:rFonts w:ascii="Times New Roman" w:hAnsi="Times New Roman" w:eastAsia="黑体"/>
          <w:sz w:val="32"/>
          <w:szCs w:val="32"/>
        </w:rPr>
        <w:br w:type="page"/>
      </w:r>
    </w:p>
    <w:p w14:paraId="32270377">
      <w:pPr>
        <w:pStyle w:val="4"/>
        <w:spacing w:line="240" w:lineRule="auto"/>
        <w:jc w:val="center"/>
        <w:rPr>
          <w:rFonts w:hint="default" w:ascii="Times New Roman" w:hAnsi="Times New Roman" w:eastAsia="黑体"/>
          <w:kern w:val="2"/>
          <w:sz w:val="32"/>
          <w:szCs w:val="32"/>
        </w:rPr>
      </w:pPr>
      <w:bookmarkStart w:id="523" w:name="_Toc215740338"/>
      <w:r>
        <w:rPr>
          <w:rFonts w:hint="default" w:ascii="Times New Roman" w:hAnsi="Times New Roman" w:eastAsia="黑体"/>
          <w:kern w:val="2"/>
          <w:sz w:val="32"/>
          <w:szCs w:val="32"/>
        </w:rPr>
        <w:t>第十七章 投资者教育与客户投诉处理</w:t>
      </w:r>
      <w:bookmarkEnd w:id="512"/>
      <w:bookmarkEnd w:id="513"/>
      <w:bookmarkEnd w:id="514"/>
      <w:bookmarkEnd w:id="515"/>
      <w:bookmarkEnd w:id="516"/>
      <w:bookmarkEnd w:id="517"/>
      <w:bookmarkEnd w:id="518"/>
      <w:bookmarkEnd w:id="519"/>
      <w:bookmarkEnd w:id="520"/>
      <w:bookmarkEnd w:id="521"/>
      <w:bookmarkEnd w:id="522"/>
      <w:bookmarkEnd w:id="523"/>
    </w:p>
    <w:p w14:paraId="17CCCD5A">
      <w:pPr>
        <w:ind w:firstLine="560" w:firstLineChars="200"/>
        <w:outlineLvl w:val="1"/>
        <w:rPr>
          <w:rFonts w:ascii="Times New Roman" w:hAnsi="Times New Roman" w:eastAsia="黑体"/>
          <w:sz w:val="28"/>
          <w:szCs w:val="28"/>
        </w:rPr>
      </w:pPr>
      <w:bookmarkStart w:id="524" w:name="_Toc406438924"/>
      <w:bookmarkStart w:id="525" w:name="_Toc2742"/>
      <w:bookmarkStart w:id="526" w:name="_Toc452017058"/>
      <w:bookmarkStart w:id="527" w:name="_Toc215740339"/>
      <w:bookmarkStart w:id="528" w:name="_Toc23947193"/>
      <w:bookmarkStart w:id="529" w:name="_Toc28065"/>
      <w:bookmarkStart w:id="530" w:name="_Toc19450"/>
      <w:bookmarkStart w:id="531" w:name="一、投资者教育"/>
      <w:bookmarkStart w:id="532" w:name="_Toc408750007"/>
      <w:r>
        <w:rPr>
          <w:rFonts w:hint="eastAsia" w:ascii="Times New Roman" w:hAnsi="Times New Roman" w:eastAsia="黑体"/>
          <w:sz w:val="28"/>
          <w:szCs w:val="28"/>
        </w:rPr>
        <w:t>一、投资者教育</w:t>
      </w:r>
      <w:bookmarkEnd w:id="524"/>
      <w:bookmarkEnd w:id="525"/>
      <w:bookmarkEnd w:id="526"/>
      <w:bookmarkEnd w:id="527"/>
      <w:bookmarkEnd w:id="528"/>
      <w:bookmarkEnd w:id="529"/>
      <w:bookmarkEnd w:id="530"/>
      <w:bookmarkEnd w:id="531"/>
      <w:bookmarkEnd w:id="532"/>
    </w:p>
    <w:p w14:paraId="117136A9">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股票期权业务投资者教育工作的目的是使客户掌握股票期权业务知识、交易规则，了解股票期权业务风险，树立正确的投资理念，理性参与</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期权交易，增强风险防范意识，依法维护自身权益，自觉维护市场秩序，促进股票期权市场的规范发展。</w:t>
      </w:r>
    </w:p>
    <w:p w14:paraId="7A2708F3">
      <w:pPr>
        <w:ind w:firstLine="560" w:firstLineChars="200"/>
        <w:rPr>
          <w:rFonts w:ascii="Times New Roman" w:hAnsi="Times New Roman" w:eastAsia="楷体_GB2312"/>
          <w:b w:val="0"/>
          <w:sz w:val="28"/>
          <w:szCs w:val="28"/>
        </w:rPr>
      </w:pPr>
      <w:bookmarkStart w:id="533" w:name="_Toc406438925"/>
      <w:r>
        <w:rPr>
          <w:rFonts w:hint="default" w:ascii="Times New Roman" w:hAnsi="Times New Roman" w:eastAsia="楷体_GB2312"/>
          <w:b w:val="0"/>
          <w:sz w:val="28"/>
          <w:szCs w:val="28"/>
        </w:rPr>
        <w:t>（一）投资者教育工作内容</w:t>
      </w:r>
      <w:bookmarkEnd w:id="533"/>
    </w:p>
    <w:p w14:paraId="23570ED7">
      <w:pPr>
        <w:shd w:val="clear" w:color="auto" w:fill="FFFFFF"/>
        <w:spacing w:after="136" w:line="299" w:lineRule="atLeast"/>
        <w:ind w:firstLine="560" w:firstLineChars="200"/>
        <w:rPr>
          <w:rFonts w:hint="eastAsia" w:ascii="Times New Roman" w:hAnsi="Times New Roman" w:eastAsia="仿宋_GB2312"/>
          <w:color w:val="4D4D4D"/>
          <w:sz w:val="28"/>
          <w:szCs w:val="28"/>
        </w:rPr>
      </w:pPr>
      <w:r>
        <w:rPr>
          <w:rFonts w:hint="eastAsia" w:ascii="Times New Roman" w:hAnsi="Times New Roman" w:eastAsia="仿宋_GB2312"/>
          <w:color w:val="000000"/>
          <w:sz w:val="28"/>
          <w:szCs w:val="28"/>
        </w:rPr>
        <w:t>股票期权业务投资者教育的主要内容包括股票期权业务基础知识、相关法律法规、</w:t>
      </w:r>
      <w:r>
        <w:rPr>
          <w:rFonts w:ascii="Times New Roman" w:hAnsi="Times New Roman" w:eastAsia="仿宋_GB2312"/>
          <w:sz w:val="28"/>
          <w:szCs w:val="28"/>
        </w:rPr>
        <w:t>股票</w:t>
      </w:r>
      <w:r>
        <w:rPr>
          <w:rFonts w:hint="eastAsia" w:ascii="Times New Roman" w:hAnsi="Times New Roman" w:eastAsia="仿宋_GB2312"/>
          <w:color w:val="000000"/>
          <w:sz w:val="28"/>
          <w:szCs w:val="28"/>
        </w:rPr>
        <w:t>期权业务规则、</w:t>
      </w:r>
      <w:r>
        <w:rPr>
          <w:rFonts w:ascii="Times New Roman" w:hAnsi="Times New Roman" w:eastAsia="仿宋_GB2312"/>
          <w:sz w:val="28"/>
          <w:szCs w:val="28"/>
        </w:rPr>
        <w:t>股票</w:t>
      </w:r>
      <w:r>
        <w:rPr>
          <w:rFonts w:hint="eastAsia" w:ascii="Times New Roman" w:hAnsi="Times New Roman" w:eastAsia="仿宋_GB2312"/>
          <w:color w:val="000000"/>
          <w:sz w:val="28"/>
          <w:szCs w:val="28"/>
        </w:rPr>
        <w:t>期权业务风险、投资者适当性管理标准、股票期权经纪合同的主要条款、股票期权开户流程等。</w:t>
      </w:r>
    </w:p>
    <w:p w14:paraId="0596BB76">
      <w:pPr>
        <w:ind w:firstLine="560" w:firstLineChars="200"/>
        <w:rPr>
          <w:rFonts w:ascii="Times New Roman" w:hAnsi="Times New Roman" w:eastAsia="楷体_GB2312"/>
          <w:b w:val="0"/>
          <w:sz w:val="28"/>
          <w:szCs w:val="28"/>
        </w:rPr>
      </w:pPr>
      <w:bookmarkStart w:id="534" w:name="_Toc406438926"/>
      <w:r>
        <w:rPr>
          <w:rFonts w:hint="default" w:ascii="Times New Roman" w:hAnsi="Times New Roman" w:eastAsia="楷体_GB2312"/>
          <w:b w:val="0"/>
          <w:sz w:val="28"/>
          <w:szCs w:val="28"/>
        </w:rPr>
        <w:t>（二）投资者教育工作要求及工作形式</w:t>
      </w:r>
      <w:bookmarkEnd w:id="534"/>
    </w:p>
    <w:p w14:paraId="75B8FC52">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1.股票期权经纪业务部门应制定本公司股票期权投资者教育工作制度，统筹组织全公司投资者教育工作。</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经纪业务部门可以采取如下形式开展投资者教育活动：集中授课、制作和发放投资者教育相关材料、设置公司网站投资者教育专栏、利用行情交易系统等揭示股票期权交易风险、组织开展股票期权仿真交易、与证券监管部门及宣传机构等合作开展投资者教育活动等。</w:t>
      </w:r>
    </w:p>
    <w:p w14:paraId="7A5F9FF4">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证券公司应当在公司网站建立与本所投资者教育网站</w:t>
      </w:r>
      <w:r>
        <w:rPr>
          <w:rFonts w:hint="eastAsia" w:ascii="Times New Roman" w:hAnsi="Times New Roman" w:eastAsia="仿宋_GB2312"/>
          <w:sz w:val="28"/>
          <w:szCs w:val="28"/>
        </w:rPr>
        <w:t>股票</w:t>
      </w:r>
      <w:r>
        <w:rPr>
          <w:rFonts w:hint="default" w:ascii="Times New Roman" w:hAnsi="Times New Roman" w:eastAsia="仿宋_GB2312"/>
          <w:color w:val="auto"/>
          <w:sz w:val="28"/>
          <w:szCs w:val="28"/>
        </w:rPr>
        <w:t>期权投教专区</w:t>
      </w:r>
      <w:r>
        <w:rPr>
          <w:rFonts w:ascii="Times New Roman" w:hAnsi="Times New Roman" w:eastAsia="仿宋_GB2312"/>
          <w:color w:val="auto"/>
          <w:sz w:val="28"/>
          <w:szCs w:val="28"/>
        </w:rPr>
        <w:t>（</w:t>
      </w:r>
      <w:r>
        <w:rPr>
          <w:rFonts w:hint="eastAsia" w:ascii="Times New Roman" w:hAnsi="Times New Roman" w:eastAsia="仿宋_GB2312"/>
          <w:color w:val="auto"/>
          <w:sz w:val="28"/>
          <w:szCs w:val="28"/>
        </w:rPr>
        <w:t>http://edu.sse.com.cn/college/qqxytj/</w:t>
      </w:r>
      <w:r>
        <w:rPr>
          <w:rFonts w:ascii="Times New Roman" w:hAnsi="Times New Roman" w:eastAsia="仿宋_GB2312"/>
          <w:color w:val="auto"/>
          <w:sz w:val="28"/>
          <w:szCs w:val="28"/>
        </w:rPr>
        <w:t>）</w:t>
      </w:r>
      <w:r>
        <w:rPr>
          <w:rFonts w:hint="default" w:ascii="Times New Roman" w:hAnsi="Times New Roman" w:eastAsia="仿宋_GB2312"/>
          <w:color w:val="auto"/>
          <w:sz w:val="28"/>
          <w:szCs w:val="28"/>
        </w:rPr>
        <w:t>的链接，并根据需要或本所要求，及时向客户发布本所提供的有关</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期权投资者教育的相关资料。建议证券公司有效利用微信、微博等新媒体开展</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期权投教工作，比如设立微信公众号、服务号等，也可组织客户或相关人员关注“上交所期权之家”微信公众号（微信号：</w:t>
      </w:r>
      <w:r>
        <w:rPr>
          <w:rFonts w:hint="eastAsia" w:ascii="Times New Roman" w:hAnsi="Times New Roman" w:eastAsia="仿宋_GB2312"/>
          <w:color w:val="auto"/>
          <w:sz w:val="28"/>
          <w:szCs w:val="28"/>
          <w:lang w:val="en-US" w:eastAsia="zh-CN"/>
        </w:rPr>
        <w:t>O</w:t>
      </w:r>
      <w:r>
        <w:rPr>
          <w:rFonts w:hint="default" w:ascii="Times New Roman" w:hAnsi="Times New Roman" w:eastAsia="仿宋_GB2312"/>
          <w:color w:val="auto"/>
          <w:sz w:val="28"/>
          <w:szCs w:val="28"/>
        </w:rPr>
        <w:t>ption</w:t>
      </w:r>
      <w:r>
        <w:rPr>
          <w:rFonts w:hint="eastAsia" w:ascii="Times New Roman" w:hAnsi="Times New Roman" w:eastAsia="仿宋_GB2312"/>
          <w:color w:val="auto"/>
          <w:sz w:val="28"/>
          <w:szCs w:val="28"/>
          <w:lang w:val="en-US" w:eastAsia="zh-CN"/>
        </w:rPr>
        <w:t>D</w:t>
      </w:r>
      <w:r>
        <w:rPr>
          <w:rFonts w:hint="default" w:ascii="Times New Roman" w:hAnsi="Times New Roman" w:eastAsia="仿宋_GB2312"/>
          <w:color w:val="auto"/>
          <w:sz w:val="28"/>
          <w:szCs w:val="28"/>
        </w:rPr>
        <w:t>aily）。</w:t>
      </w:r>
    </w:p>
    <w:p w14:paraId="268C5A0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分支机构在总部统一部署下开展股票期权投资者教育工作，也可根据自身实际情况，适时开展投资者教育工作，形式包括集中授课、分发股票期权业务投资者教育资料、设立股票期权业务投资者教育园地专栏、组织客户参加股票期权模拟交易等。</w:t>
      </w:r>
    </w:p>
    <w:p w14:paraId="12A3DCB4">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开展</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期权业务的分支机构应当开设</w:t>
      </w:r>
      <w:r>
        <w:rPr>
          <w:rFonts w:ascii="Times New Roman" w:hAnsi="Times New Roman" w:eastAsia="仿宋_GB2312"/>
          <w:sz w:val="28"/>
          <w:szCs w:val="28"/>
        </w:rPr>
        <w:t>股票</w:t>
      </w:r>
      <w:r>
        <w:rPr>
          <w:rFonts w:hint="default" w:ascii="Times New Roman" w:hAnsi="Times New Roman" w:eastAsia="仿宋_GB2312"/>
          <w:color w:val="auto"/>
          <w:sz w:val="28"/>
          <w:szCs w:val="28"/>
        </w:rPr>
        <w:t>期权投资者教育专栏，内容可以包括：股票期权投资风险揭示书、股票期权业务法律及行政法规知识介绍、股票期权业务基础知识、股票期权风险收益特点、股票期权交易流程、股票期权知识测试流程及安排等。</w:t>
      </w:r>
    </w:p>
    <w:p w14:paraId="41F65D49">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分支机构应当向申请开展股票期权业务的客户讲解股票期权业务规则、合同主要条款并提示交易风险，向客户告知股票期权标的证券名单、开仓保证金比例、维持保证金比例、股票期权交易合约收费标准等。</w:t>
      </w:r>
    </w:p>
    <w:p w14:paraId="0A313ACD">
      <w:pPr>
        <w:ind w:firstLine="560" w:firstLineChars="200"/>
        <w:outlineLvl w:val="1"/>
        <w:rPr>
          <w:rFonts w:ascii="Times New Roman" w:hAnsi="Times New Roman" w:eastAsia="黑体"/>
          <w:sz w:val="28"/>
          <w:szCs w:val="28"/>
        </w:rPr>
      </w:pPr>
      <w:bookmarkStart w:id="535" w:name="_Toc406438927"/>
      <w:bookmarkStart w:id="536" w:name="_Toc408750008"/>
      <w:bookmarkStart w:id="537" w:name="_Toc23947194"/>
      <w:bookmarkStart w:id="538" w:name="二、客户投诉处理"/>
      <w:bookmarkStart w:id="539" w:name="_Toc2906"/>
      <w:bookmarkStart w:id="540" w:name="_Toc452017059"/>
      <w:bookmarkStart w:id="541" w:name="_Toc2328"/>
      <w:bookmarkStart w:id="542" w:name="_Toc215740340"/>
      <w:bookmarkStart w:id="543" w:name="_Toc22818"/>
      <w:r>
        <w:rPr>
          <w:rFonts w:hint="eastAsia" w:ascii="Times New Roman" w:hAnsi="Times New Roman" w:eastAsia="黑体"/>
          <w:sz w:val="28"/>
          <w:szCs w:val="28"/>
        </w:rPr>
        <w:t>二、客户投诉处理</w:t>
      </w:r>
      <w:bookmarkEnd w:id="535"/>
      <w:bookmarkEnd w:id="536"/>
      <w:bookmarkEnd w:id="537"/>
      <w:bookmarkEnd w:id="538"/>
      <w:bookmarkEnd w:id="539"/>
      <w:bookmarkEnd w:id="540"/>
      <w:bookmarkEnd w:id="541"/>
      <w:bookmarkEnd w:id="542"/>
      <w:bookmarkEnd w:id="543"/>
    </w:p>
    <w:p w14:paraId="16B27980">
      <w:pPr>
        <w:ind w:firstLine="560" w:firstLineChars="200"/>
        <w:rPr>
          <w:rFonts w:ascii="Times New Roman" w:hAnsi="Times New Roman" w:eastAsia="仿宋_GB2312"/>
          <w:sz w:val="28"/>
          <w:szCs w:val="28"/>
        </w:rPr>
      </w:pPr>
      <w:r>
        <w:rPr>
          <w:rFonts w:hint="default" w:ascii="Times New Roman" w:hAnsi="Times New Roman" w:eastAsia="仿宋_GB2312"/>
          <w:color w:val="auto"/>
          <w:sz w:val="28"/>
          <w:szCs w:val="28"/>
        </w:rPr>
        <w:t>为保护投资者，及时消除或化解客户因股票期权业务而发生的矛盾纠纷，避免客户纠纷事态的扩大，保证股票期权业务有序开展，证券公司应当制定完善的客户投诉处理流程。</w:t>
      </w:r>
      <w:bookmarkStart w:id="544" w:name="_Toc311894709"/>
    </w:p>
    <w:p w14:paraId="51D382C7">
      <w:pPr>
        <w:ind w:firstLine="560" w:firstLineChars="200"/>
        <w:rPr>
          <w:rFonts w:ascii="Times New Roman" w:hAnsi="Times New Roman" w:eastAsia="楷体_GB2312"/>
          <w:b w:val="0"/>
          <w:sz w:val="28"/>
          <w:szCs w:val="28"/>
        </w:rPr>
      </w:pPr>
      <w:bookmarkStart w:id="545" w:name="_Toc406438928"/>
      <w:r>
        <w:rPr>
          <w:rFonts w:hint="default" w:ascii="Times New Roman" w:hAnsi="Times New Roman" w:eastAsia="楷体_GB2312"/>
          <w:b w:val="0"/>
          <w:sz w:val="28"/>
          <w:szCs w:val="28"/>
        </w:rPr>
        <w:t>（一）客户投诉的处理</w:t>
      </w:r>
      <w:bookmarkEnd w:id="544"/>
      <w:bookmarkEnd w:id="545"/>
    </w:p>
    <w:p w14:paraId="395802EB">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1.要认真做好股票期权业务客户投诉处理、来访接待和劝导工作，尽量化解矛盾，有效防范客户上访事件的发生；将投诉、信访问题解决在基层，防止事态扩大。</w:t>
      </w:r>
    </w:p>
    <w:p w14:paraId="0F66A4DB">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2.客户投诉由证券公司分支机构或电话服务中心受理，并按预先制定的流程处理。建议投诉受理采取首问负责制。</w:t>
      </w:r>
    </w:p>
    <w:p w14:paraId="40FA8606">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3.对于重大投诉或交易纠纷，分支机构或电话服务中心向公司总部报备。对于其中可能影响正常交易的业务纠纷，应当自该情形出现之日起2个工作日内向本所和证券监管部门报告。</w:t>
      </w:r>
    </w:p>
    <w:p w14:paraId="177A5739">
      <w:pPr>
        <w:ind w:firstLine="560" w:firstLineChars="200"/>
        <w:rPr>
          <w:rFonts w:ascii="Times New Roman" w:hAnsi="Times New Roman" w:eastAsia="楷体_GB2312"/>
          <w:b w:val="0"/>
          <w:sz w:val="28"/>
          <w:szCs w:val="28"/>
        </w:rPr>
      </w:pPr>
      <w:bookmarkStart w:id="546" w:name="_Toc406438929"/>
      <w:bookmarkStart w:id="547" w:name="_Toc311894710"/>
      <w:r>
        <w:rPr>
          <w:rFonts w:hint="default" w:ascii="Times New Roman" w:hAnsi="Times New Roman" w:eastAsia="楷体_GB2312"/>
          <w:b w:val="0"/>
          <w:sz w:val="28"/>
          <w:szCs w:val="28"/>
        </w:rPr>
        <w:t>（二）客户投诉途径和受理范围</w:t>
      </w:r>
      <w:bookmarkEnd w:id="546"/>
      <w:bookmarkEnd w:id="547"/>
    </w:p>
    <w:p w14:paraId="7EBEFF6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1.证券公司网站及分支机构在现场显著位置对外公示公司统一投诉受理渠道，包括投诉电话、投诉邮箱，投资者可现场或通过电话、邮件等形式向证券公司或分支机构投诉。</w:t>
      </w:r>
    </w:p>
    <w:p w14:paraId="2CD6A2A5">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2.公司受理符合下列条件的股票期权业务客户投诉：</w:t>
      </w:r>
    </w:p>
    <w:p w14:paraId="44DE1AA0">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（1）投诉人是与投诉事项有直接利害关系的当事人；</w:t>
      </w:r>
    </w:p>
    <w:p w14:paraId="2D49A90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（2）有明确的被投诉人或被投诉部门；</w:t>
      </w:r>
    </w:p>
    <w:p w14:paraId="5B6964EE">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（3）投诉事项明确具体且有事实依据；</w:t>
      </w:r>
    </w:p>
    <w:p w14:paraId="5C3B869F">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（4）证券公司规定的其它条件。</w:t>
      </w:r>
    </w:p>
    <w:p w14:paraId="4C39242A">
      <w:pPr>
        <w:ind w:firstLine="560" w:firstLineChars="200"/>
        <w:rPr>
          <w:rFonts w:ascii="Times New Roman" w:hAnsi="Times New Roman" w:eastAsia="楷体_GB2312"/>
          <w:b w:val="0"/>
          <w:sz w:val="28"/>
          <w:szCs w:val="28"/>
        </w:rPr>
      </w:pPr>
      <w:bookmarkStart w:id="548" w:name="_Toc311894713"/>
      <w:bookmarkStart w:id="549" w:name="_Toc406438930"/>
      <w:r>
        <w:rPr>
          <w:rFonts w:hint="default" w:ascii="Times New Roman" w:hAnsi="Times New Roman" w:eastAsia="楷体_GB2312"/>
          <w:b w:val="0"/>
          <w:sz w:val="28"/>
          <w:szCs w:val="28"/>
        </w:rPr>
        <w:t>（三）投诉处理流程</w:t>
      </w:r>
      <w:bookmarkEnd w:id="548"/>
      <w:bookmarkEnd w:id="549"/>
    </w:p>
    <w:p w14:paraId="498E1587">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1.投诉受理</w:t>
      </w:r>
    </w:p>
    <w:p w14:paraId="05F193F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分支机构或电话服务中心的客服人员接到投诉后，详细记录客户的姓名、客户编号、联系方式、地址、客户投诉的内容和客户期望的处理结果等。</w:t>
      </w:r>
    </w:p>
    <w:p w14:paraId="2F54030A">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2.投诉分析</w:t>
      </w:r>
    </w:p>
    <w:p w14:paraId="306E6BB9">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客户服务人员在受理后立即根据登记内容进行分析，判断投诉是否符合受理条件，并及时通知投诉责任部门或人员。</w:t>
      </w:r>
    </w:p>
    <w:p w14:paraId="79D0903C">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3.投诉调查</w:t>
      </w:r>
    </w:p>
    <w:p w14:paraId="1C0058BD">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责任部门在收到投诉当日，及时对投诉的事实、投诉的原因、主要责任人等内容进行调查，明确导致投诉问题发生的事件、责任人，确认投诉产生的主客观原因。</w:t>
      </w:r>
    </w:p>
    <w:p w14:paraId="287B0909">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4.投诉处理</w:t>
      </w:r>
    </w:p>
    <w:p w14:paraId="744CF518">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责任部门负责根据调查的实际情况，参照客户的投诉要求，提出解决投诉的具体方案，如沟通解释、道歉、纠错、赔偿等。</w:t>
      </w:r>
    </w:p>
    <w:p w14:paraId="3FA64490">
      <w:pPr>
        <w:ind w:firstLine="560" w:firstLineChars="200"/>
        <w:rPr>
          <w:rFonts w:ascii="Times New Roman" w:hAnsi="Times New Roman" w:eastAsia="仿宋_GB2312"/>
          <w:color w:val="auto"/>
          <w:sz w:val="28"/>
          <w:szCs w:val="28"/>
        </w:rPr>
      </w:pPr>
      <w:r>
        <w:rPr>
          <w:rFonts w:hint="default" w:ascii="Times New Roman" w:hAnsi="Times New Roman" w:eastAsia="仿宋_GB2312"/>
          <w:color w:val="auto"/>
          <w:sz w:val="28"/>
          <w:szCs w:val="28"/>
        </w:rPr>
        <w:t>分支机构在客户投诉处理完毕后，由首次受理客户投诉的人员通过电话录音、书面留痕等方式向客户确认处理结果。</w:t>
      </w:r>
    </w:p>
    <w:p w14:paraId="1AA13177">
      <w:pPr>
        <w:ind w:firstLine="560" w:firstLineChars="200"/>
        <w:rPr>
          <w:rFonts w:ascii="Times New Roman" w:hAnsi="Times New Roman" w:eastAsia="楷体_GB2312"/>
          <w:b w:val="0"/>
          <w:sz w:val="28"/>
          <w:szCs w:val="28"/>
        </w:rPr>
      </w:pPr>
      <w:bookmarkStart w:id="550" w:name="_Toc311894715"/>
      <w:bookmarkStart w:id="551" w:name="_Toc406438931"/>
      <w:r>
        <w:rPr>
          <w:rFonts w:hint="default" w:ascii="Times New Roman" w:hAnsi="Times New Roman" w:eastAsia="楷体_GB2312"/>
          <w:b w:val="0"/>
          <w:sz w:val="28"/>
          <w:szCs w:val="28"/>
        </w:rPr>
        <w:t>（四）客户投诉档案的管理</w:t>
      </w:r>
      <w:bookmarkEnd w:id="550"/>
      <w:bookmarkEnd w:id="551"/>
    </w:p>
    <w:p w14:paraId="3A0A0F31">
      <w:pPr>
        <w:ind w:firstLine="560" w:firstLineChars="200"/>
        <w:rPr>
          <w:rFonts w:ascii="Times New Roman" w:hAnsi="Times New Roman" w:eastAsia="仿宋_GB2312"/>
          <w:sz w:val="28"/>
          <w:szCs w:val="28"/>
        </w:rPr>
      </w:pPr>
      <w:r>
        <w:rPr>
          <w:rFonts w:hint="default" w:ascii="Times New Roman" w:hAnsi="Times New Roman" w:eastAsia="仿宋_GB2312"/>
          <w:color w:val="auto"/>
          <w:sz w:val="28"/>
          <w:szCs w:val="28"/>
        </w:rPr>
        <w:t>证券公司应当完整记录客户投诉受理、调查和处理的过程，并形成书面、录音和电子档案，其保存期限为20年。</w:t>
      </w:r>
      <w:bookmarkStart w:id="552" w:name="_Toc403729890"/>
      <w:bookmarkStart w:id="553" w:name="_Toc403729891"/>
    </w:p>
    <w:bookmarkEnd w:id="552"/>
    <w:bookmarkEnd w:id="553"/>
    <w:p w14:paraId="7E92C6ED">
      <w:pPr>
        <w:widowControl/>
        <w:jc w:val="left"/>
        <w:rPr>
          <w:rFonts w:ascii="Times New Roman" w:hAnsi="Times New Roman" w:eastAsia="仿宋_GB2312"/>
          <w:sz w:val="28"/>
          <w:szCs w:val="28"/>
        </w:rPr>
      </w:pPr>
      <w:bookmarkStart w:id="554" w:name="_Toc408750009"/>
      <w:bookmarkEnd w:id="554"/>
      <w:bookmarkStart w:id="555" w:name="_Toc23947195"/>
      <w:bookmarkStart w:id="556" w:name="附件一：适当性综合评估样表"/>
      <w:bookmarkStart w:id="557" w:name="适当性综合评估样表"/>
      <w:r>
        <w:rPr>
          <w:rFonts w:ascii="Times New Roman" w:hAnsi="Times New Roman"/>
          <w:b/>
          <w:bCs/>
          <w:szCs w:val="28"/>
        </w:rPr>
        <w:br w:type="page"/>
      </w:r>
    </w:p>
    <w:p w14:paraId="108F174D">
      <w:pPr>
        <w:pStyle w:val="4"/>
        <w:rPr>
          <w:rFonts w:hint="default" w:ascii="Times New Roman" w:hAnsi="Times New Roman"/>
        </w:rPr>
      </w:pPr>
      <w:bookmarkStart w:id="558" w:name="_Toc215740341"/>
      <w:r>
        <w:rPr>
          <w:rFonts w:hint="default" w:ascii="Times New Roman" w:hAnsi="Times New Roman"/>
        </w:rPr>
        <w:t>附件一</w:t>
      </w:r>
      <w:bookmarkEnd w:id="558"/>
    </w:p>
    <w:p w14:paraId="3FBF82CD">
      <w:pPr>
        <w:pStyle w:val="4"/>
        <w:jc w:val="center"/>
        <w:rPr>
          <w:rFonts w:hint="default" w:ascii="Times New Roman" w:hAnsi="Times New Roman"/>
        </w:rPr>
      </w:pPr>
      <w:bookmarkStart w:id="559" w:name="_Toc57819590"/>
      <w:r>
        <w:rPr>
          <w:rFonts w:hint="default" w:ascii="Times New Roman" w:hAnsi="Times New Roman"/>
        </w:rPr>
        <w:t>证券公司股票期权经纪业务专项检查工作底稿</w:t>
      </w:r>
      <w:bookmarkEnd w:id="559"/>
    </w:p>
    <w:p w14:paraId="739C20EF">
      <w:pPr>
        <w:spacing w:line="400" w:lineRule="exact"/>
        <w:ind w:firstLine="0" w:firstLineChars="0"/>
        <w:jc w:val="center"/>
        <w:rPr>
          <w:rFonts w:eastAsia="楷体" w:cs="Times New Roman"/>
          <w:sz w:val="28"/>
          <w:szCs w:val="21"/>
        </w:rPr>
      </w:pPr>
      <w:bookmarkStart w:id="560" w:name="_Toc57819591"/>
      <w:r>
        <w:rPr>
          <w:rFonts w:hint="eastAsia" w:eastAsia="楷体" w:cs="Times New Roman"/>
          <w:sz w:val="28"/>
          <w:szCs w:val="21"/>
        </w:rPr>
        <w:t>第一部分</w:t>
      </w:r>
      <w:bookmarkEnd w:id="560"/>
      <w:bookmarkStart w:id="561" w:name="_Toc57819592"/>
    </w:p>
    <w:p w14:paraId="47A873A6">
      <w:pPr>
        <w:spacing w:line="400" w:lineRule="exact"/>
        <w:ind w:firstLine="0" w:firstLineChars="0"/>
        <w:jc w:val="center"/>
        <w:rPr>
          <w:rFonts w:eastAsia="楷体" w:cs="Times New Roman"/>
          <w:sz w:val="28"/>
          <w:szCs w:val="21"/>
        </w:rPr>
      </w:pPr>
      <w:r>
        <w:rPr>
          <w:rFonts w:hint="eastAsia" w:eastAsia="楷体" w:cs="Times New Roman"/>
          <w:sz w:val="28"/>
          <w:szCs w:val="21"/>
        </w:rPr>
        <w:t>证券公司期权经纪业务就绪情况检查</w:t>
      </w:r>
      <w:bookmarkEnd w:id="561"/>
    </w:p>
    <w:p w14:paraId="246986D7">
      <w:pPr>
        <w:spacing w:line="400" w:lineRule="exact"/>
        <w:ind w:firstLine="0" w:firstLineChars="0"/>
        <w:rPr>
          <w:rFonts w:eastAsia="黑体" w:cs="Times New Roman"/>
          <w:sz w:val="28"/>
          <w:szCs w:val="24"/>
        </w:rPr>
      </w:pPr>
      <w:bookmarkStart w:id="562" w:name="_Toc57819593"/>
      <w:r>
        <w:rPr>
          <w:rFonts w:hint="eastAsia" w:eastAsia="黑体" w:cs="Times New Roman"/>
          <w:sz w:val="28"/>
          <w:szCs w:val="24"/>
        </w:rPr>
        <w:t>一、基本要求</w:t>
      </w:r>
      <w:bookmarkEnd w:id="562"/>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552"/>
        <w:gridCol w:w="553"/>
        <w:gridCol w:w="2342"/>
        <w:gridCol w:w="1103"/>
        <w:gridCol w:w="1928"/>
        <w:gridCol w:w="1241"/>
        <w:gridCol w:w="1378"/>
        <w:gridCol w:w="967"/>
      </w:tblGrid>
      <w:tr w14:paraId="343D3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52" w:type="dxa"/>
            <w:vMerge w:val="restart"/>
            <w:vAlign w:val="center"/>
          </w:tcPr>
          <w:p w14:paraId="7F66B04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53" w:type="dxa"/>
            <w:vMerge w:val="restart"/>
            <w:vAlign w:val="center"/>
          </w:tcPr>
          <w:p w14:paraId="2185B39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342" w:type="dxa"/>
            <w:vMerge w:val="restart"/>
            <w:vAlign w:val="center"/>
          </w:tcPr>
          <w:p w14:paraId="214878C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103" w:type="dxa"/>
            <w:vMerge w:val="restart"/>
            <w:vAlign w:val="center"/>
          </w:tcPr>
          <w:p w14:paraId="744F70D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1928" w:type="dxa"/>
            <w:vMerge w:val="restart"/>
            <w:vAlign w:val="center"/>
          </w:tcPr>
          <w:p w14:paraId="26A7F70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3586" w:type="dxa"/>
            <w:gridSpan w:val="3"/>
            <w:vAlign w:val="center"/>
          </w:tcPr>
          <w:p w14:paraId="14BD10E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29232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552" w:type="dxa"/>
            <w:vMerge w:val="continue"/>
            <w:vAlign w:val="center"/>
          </w:tcPr>
          <w:p w14:paraId="2C7A1A21">
            <w:pPr>
              <w:widowControl w:val="0"/>
              <w:snapToGrid w:val="0"/>
              <w:spacing w:line="240" w:lineRule="auto"/>
              <w:ind w:firstLine="0" w:firstLineChars="0"/>
              <w:jc w:val="center"/>
              <w:rPr>
                <w:rFonts w:eastAsia="仿宋" w:cs="Times New Roman"/>
                <w:b/>
                <w:sz w:val="24"/>
                <w:szCs w:val="28"/>
              </w:rPr>
            </w:pPr>
          </w:p>
        </w:tc>
        <w:tc>
          <w:tcPr>
            <w:tcW w:w="553" w:type="dxa"/>
            <w:vMerge w:val="continue"/>
            <w:vAlign w:val="center"/>
          </w:tcPr>
          <w:p w14:paraId="6349203B">
            <w:pPr>
              <w:widowControl w:val="0"/>
              <w:snapToGrid w:val="0"/>
              <w:spacing w:line="240" w:lineRule="auto"/>
              <w:ind w:firstLine="0" w:firstLineChars="0"/>
              <w:jc w:val="center"/>
              <w:rPr>
                <w:rFonts w:eastAsia="仿宋" w:cs="Times New Roman"/>
                <w:b/>
                <w:sz w:val="24"/>
                <w:szCs w:val="28"/>
              </w:rPr>
            </w:pPr>
          </w:p>
        </w:tc>
        <w:tc>
          <w:tcPr>
            <w:tcW w:w="2342" w:type="dxa"/>
            <w:vMerge w:val="continue"/>
            <w:vAlign w:val="center"/>
          </w:tcPr>
          <w:p w14:paraId="076652C6">
            <w:pPr>
              <w:widowControl w:val="0"/>
              <w:snapToGrid w:val="0"/>
              <w:spacing w:line="240" w:lineRule="auto"/>
              <w:ind w:firstLine="0" w:firstLineChars="0"/>
              <w:jc w:val="center"/>
              <w:rPr>
                <w:rFonts w:eastAsia="仿宋" w:cs="Times New Roman"/>
                <w:b/>
                <w:sz w:val="24"/>
                <w:szCs w:val="28"/>
              </w:rPr>
            </w:pPr>
          </w:p>
        </w:tc>
        <w:tc>
          <w:tcPr>
            <w:tcW w:w="1103" w:type="dxa"/>
            <w:vMerge w:val="continue"/>
            <w:vAlign w:val="center"/>
          </w:tcPr>
          <w:p w14:paraId="7B823983">
            <w:pPr>
              <w:widowControl w:val="0"/>
              <w:snapToGrid w:val="0"/>
              <w:spacing w:line="240" w:lineRule="auto"/>
              <w:ind w:firstLine="0" w:firstLineChars="0"/>
              <w:jc w:val="center"/>
              <w:rPr>
                <w:rFonts w:eastAsia="仿宋" w:cs="Times New Roman"/>
                <w:b/>
                <w:sz w:val="24"/>
                <w:szCs w:val="28"/>
              </w:rPr>
            </w:pPr>
          </w:p>
        </w:tc>
        <w:tc>
          <w:tcPr>
            <w:tcW w:w="1928" w:type="dxa"/>
            <w:vMerge w:val="continue"/>
            <w:vAlign w:val="center"/>
          </w:tcPr>
          <w:p w14:paraId="4DE550A6">
            <w:pPr>
              <w:widowControl w:val="0"/>
              <w:snapToGrid w:val="0"/>
              <w:spacing w:line="240" w:lineRule="auto"/>
              <w:ind w:firstLine="0" w:firstLineChars="0"/>
              <w:jc w:val="center"/>
              <w:rPr>
                <w:rFonts w:eastAsia="仿宋" w:cs="Times New Roman"/>
                <w:b/>
                <w:sz w:val="24"/>
                <w:szCs w:val="28"/>
              </w:rPr>
            </w:pPr>
          </w:p>
        </w:tc>
        <w:tc>
          <w:tcPr>
            <w:tcW w:w="1241" w:type="dxa"/>
            <w:vAlign w:val="center"/>
          </w:tcPr>
          <w:p w14:paraId="7153C61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78" w:type="dxa"/>
            <w:vAlign w:val="center"/>
          </w:tcPr>
          <w:p w14:paraId="35E3861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967" w:type="dxa"/>
            <w:vAlign w:val="center"/>
          </w:tcPr>
          <w:p w14:paraId="749C3ED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091A6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restart"/>
            <w:vAlign w:val="center"/>
          </w:tcPr>
          <w:p w14:paraId="4543CC2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组织架构</w:t>
            </w:r>
          </w:p>
        </w:tc>
        <w:tc>
          <w:tcPr>
            <w:tcW w:w="553" w:type="dxa"/>
            <w:vAlign w:val="center"/>
          </w:tcPr>
          <w:p w14:paraId="54FAE80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w:t>
            </w:r>
          </w:p>
        </w:tc>
        <w:tc>
          <w:tcPr>
            <w:tcW w:w="2342" w:type="dxa"/>
            <w:vAlign w:val="center"/>
          </w:tcPr>
          <w:p w14:paraId="38A521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成立独立的衍生品经纪职能部门</w:t>
            </w:r>
          </w:p>
        </w:tc>
        <w:tc>
          <w:tcPr>
            <w:tcW w:w="1103" w:type="dxa"/>
            <w:vAlign w:val="center"/>
          </w:tcPr>
          <w:p w14:paraId="31FB54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1D253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《上海证券交易所证券公司股票期权业务指南》（以下简称“《经纪业务指南》”）</w:t>
            </w:r>
          </w:p>
        </w:tc>
        <w:tc>
          <w:tcPr>
            <w:tcW w:w="1241" w:type="dxa"/>
            <w:vAlign w:val="center"/>
          </w:tcPr>
          <w:p w14:paraId="4CD464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B2F0C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27122C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F3EA4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13C22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1AF6CCC5">
            <w:pPr>
              <w:widowControl w:val="0"/>
              <w:snapToGrid w:val="0"/>
              <w:spacing w:line="240" w:lineRule="auto"/>
              <w:ind w:firstLine="0" w:firstLineChars="0"/>
              <w:rPr>
                <w:rFonts w:eastAsia="仿宋" w:cs="Times New Roman"/>
                <w:sz w:val="24"/>
                <w:szCs w:val="28"/>
              </w:rPr>
            </w:pPr>
          </w:p>
        </w:tc>
      </w:tr>
      <w:tr w14:paraId="33E4E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550358B9">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7C6F9C8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w:t>
            </w:r>
          </w:p>
        </w:tc>
        <w:tc>
          <w:tcPr>
            <w:tcW w:w="2342" w:type="dxa"/>
            <w:vAlign w:val="center"/>
          </w:tcPr>
          <w:p w14:paraId="60D3DE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在经纪部门外其他部门设置独立的衍生品风险控制、结算、运行等岗位</w:t>
            </w:r>
          </w:p>
        </w:tc>
        <w:tc>
          <w:tcPr>
            <w:tcW w:w="1103" w:type="dxa"/>
            <w:vAlign w:val="center"/>
          </w:tcPr>
          <w:p w14:paraId="3B1AF5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45831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168116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143B4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4D7117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6A9EF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0541D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760B8B1E">
            <w:pPr>
              <w:widowControl w:val="0"/>
              <w:snapToGrid w:val="0"/>
              <w:spacing w:line="240" w:lineRule="auto"/>
              <w:ind w:firstLine="0" w:firstLineChars="0"/>
              <w:rPr>
                <w:rFonts w:eastAsia="仿宋" w:cs="Times New Roman"/>
                <w:sz w:val="24"/>
                <w:szCs w:val="28"/>
              </w:rPr>
            </w:pPr>
          </w:p>
        </w:tc>
      </w:tr>
      <w:tr w14:paraId="6290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70B8F6DA">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02E2F10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w:t>
            </w:r>
          </w:p>
        </w:tc>
        <w:tc>
          <w:tcPr>
            <w:tcW w:w="2342" w:type="dxa"/>
            <w:vAlign w:val="center"/>
          </w:tcPr>
          <w:p w14:paraId="574629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对拟参与期权经纪业务的营业部，需设立独立的相关岗位</w:t>
            </w:r>
          </w:p>
        </w:tc>
        <w:tc>
          <w:tcPr>
            <w:tcW w:w="1103" w:type="dxa"/>
            <w:vAlign w:val="center"/>
          </w:tcPr>
          <w:p w14:paraId="39C28D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77B133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6410B2C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FA64B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599B74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BE215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B5BA7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362FCB23">
            <w:pPr>
              <w:widowControl w:val="0"/>
              <w:snapToGrid w:val="0"/>
              <w:spacing w:line="240" w:lineRule="auto"/>
              <w:ind w:firstLine="0" w:firstLineChars="0"/>
              <w:rPr>
                <w:rFonts w:eastAsia="仿宋" w:cs="Times New Roman"/>
                <w:sz w:val="24"/>
                <w:szCs w:val="28"/>
              </w:rPr>
            </w:pPr>
          </w:p>
        </w:tc>
      </w:tr>
      <w:tr w14:paraId="75E8E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restart"/>
            <w:vAlign w:val="center"/>
          </w:tcPr>
          <w:p w14:paraId="693179B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制度规则</w:t>
            </w:r>
          </w:p>
        </w:tc>
        <w:tc>
          <w:tcPr>
            <w:tcW w:w="553" w:type="dxa"/>
            <w:vAlign w:val="center"/>
          </w:tcPr>
          <w:p w14:paraId="2A1641F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w:t>
            </w:r>
          </w:p>
        </w:tc>
        <w:tc>
          <w:tcPr>
            <w:tcW w:w="2342" w:type="dxa"/>
            <w:vAlign w:val="center"/>
          </w:tcPr>
          <w:p w14:paraId="32ED38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期权经纪业务管理制度</w:t>
            </w:r>
          </w:p>
        </w:tc>
        <w:tc>
          <w:tcPr>
            <w:tcW w:w="1103" w:type="dxa"/>
            <w:vAlign w:val="center"/>
          </w:tcPr>
          <w:p w14:paraId="51AB16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2B7CD1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6E79EE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6C44F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4422715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86418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317B7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2FEB6E08">
            <w:pPr>
              <w:widowControl w:val="0"/>
              <w:snapToGrid w:val="0"/>
              <w:spacing w:line="240" w:lineRule="auto"/>
              <w:ind w:firstLine="0" w:firstLineChars="0"/>
              <w:rPr>
                <w:rFonts w:eastAsia="仿宋" w:cs="Times New Roman"/>
                <w:sz w:val="24"/>
                <w:szCs w:val="28"/>
              </w:rPr>
            </w:pPr>
          </w:p>
        </w:tc>
      </w:tr>
      <w:tr w14:paraId="3F6A5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043E2C0A">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602C3DC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w:t>
            </w:r>
          </w:p>
        </w:tc>
        <w:tc>
          <w:tcPr>
            <w:tcW w:w="2342" w:type="dxa"/>
            <w:vAlign w:val="center"/>
          </w:tcPr>
          <w:p w14:paraId="1C4B7D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期权交易管理制度</w:t>
            </w:r>
          </w:p>
        </w:tc>
        <w:tc>
          <w:tcPr>
            <w:tcW w:w="1103" w:type="dxa"/>
            <w:vAlign w:val="center"/>
          </w:tcPr>
          <w:p w14:paraId="171A48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66596E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0FFFEC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2F5B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7BD9804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21A13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D6FF5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6B268287">
            <w:pPr>
              <w:widowControl w:val="0"/>
              <w:snapToGrid w:val="0"/>
              <w:spacing w:line="240" w:lineRule="auto"/>
              <w:ind w:firstLine="0" w:firstLineChars="0"/>
              <w:rPr>
                <w:rFonts w:eastAsia="仿宋" w:cs="Times New Roman"/>
                <w:sz w:val="24"/>
                <w:szCs w:val="28"/>
              </w:rPr>
            </w:pPr>
          </w:p>
        </w:tc>
      </w:tr>
      <w:tr w14:paraId="33342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6D8638A8">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5138670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w:t>
            </w:r>
          </w:p>
        </w:tc>
        <w:tc>
          <w:tcPr>
            <w:tcW w:w="2342" w:type="dxa"/>
            <w:vAlign w:val="center"/>
          </w:tcPr>
          <w:p w14:paraId="7BD5B4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期权客户适当性评估以及分级管理制度</w:t>
            </w:r>
          </w:p>
        </w:tc>
        <w:tc>
          <w:tcPr>
            <w:tcW w:w="1103" w:type="dxa"/>
            <w:vAlign w:val="center"/>
          </w:tcPr>
          <w:p w14:paraId="507DC3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03B074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2366EE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EE0DE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53B2ED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245160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F6BF4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6B8D9FB0">
            <w:pPr>
              <w:widowControl w:val="0"/>
              <w:snapToGrid w:val="0"/>
              <w:spacing w:line="240" w:lineRule="auto"/>
              <w:ind w:firstLine="0" w:firstLineChars="0"/>
              <w:rPr>
                <w:rFonts w:eastAsia="仿宋" w:cs="Times New Roman"/>
                <w:sz w:val="24"/>
                <w:szCs w:val="28"/>
              </w:rPr>
            </w:pPr>
          </w:p>
        </w:tc>
      </w:tr>
      <w:tr w14:paraId="4B2D0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71DEB1B4">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07542F4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w:t>
            </w:r>
          </w:p>
        </w:tc>
        <w:tc>
          <w:tcPr>
            <w:tcW w:w="2342" w:type="dxa"/>
            <w:vAlign w:val="center"/>
          </w:tcPr>
          <w:p w14:paraId="43A70F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期权风险控制与风险处置相关制度</w:t>
            </w:r>
          </w:p>
        </w:tc>
        <w:tc>
          <w:tcPr>
            <w:tcW w:w="1103" w:type="dxa"/>
            <w:vAlign w:val="center"/>
          </w:tcPr>
          <w:p w14:paraId="7AFB8E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F8BED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《上海证券交易所、中国证券登记结算有限责任公司股票期权试点风险控制管理办法》（以下简称“《风控管理办法》”）</w:t>
            </w:r>
          </w:p>
        </w:tc>
        <w:tc>
          <w:tcPr>
            <w:tcW w:w="1241" w:type="dxa"/>
            <w:vAlign w:val="center"/>
          </w:tcPr>
          <w:p w14:paraId="562375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95087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117266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CE41C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63916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5717E806">
            <w:pPr>
              <w:widowControl w:val="0"/>
              <w:snapToGrid w:val="0"/>
              <w:spacing w:line="240" w:lineRule="auto"/>
              <w:ind w:firstLine="0" w:firstLineChars="0"/>
              <w:rPr>
                <w:rFonts w:eastAsia="仿宋" w:cs="Times New Roman"/>
                <w:sz w:val="24"/>
                <w:szCs w:val="28"/>
              </w:rPr>
            </w:pPr>
          </w:p>
        </w:tc>
      </w:tr>
      <w:tr w14:paraId="72A67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19575C77">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4783065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8</w:t>
            </w:r>
          </w:p>
        </w:tc>
        <w:tc>
          <w:tcPr>
            <w:tcW w:w="2342" w:type="dxa"/>
            <w:vAlign w:val="center"/>
          </w:tcPr>
          <w:p w14:paraId="089617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内控管理制度（包括但不限于交易系统、风险监控及处置、客户选择与资信、行权、清算、结算和信息系统等方面）</w:t>
            </w:r>
          </w:p>
        </w:tc>
        <w:tc>
          <w:tcPr>
            <w:tcW w:w="1103" w:type="dxa"/>
            <w:vAlign w:val="center"/>
          </w:tcPr>
          <w:p w14:paraId="00FE84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3F260A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31789D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B32E3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6A3D2E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82B21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9B223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020E1E21">
            <w:pPr>
              <w:widowControl w:val="0"/>
              <w:snapToGrid w:val="0"/>
              <w:spacing w:line="240" w:lineRule="auto"/>
              <w:ind w:firstLine="0" w:firstLineChars="0"/>
              <w:rPr>
                <w:rFonts w:eastAsia="仿宋" w:cs="Times New Roman"/>
                <w:sz w:val="24"/>
                <w:szCs w:val="28"/>
              </w:rPr>
            </w:pPr>
          </w:p>
        </w:tc>
      </w:tr>
      <w:tr w14:paraId="0A188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778C6512">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600E4FA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9</w:t>
            </w:r>
          </w:p>
        </w:tc>
        <w:tc>
          <w:tcPr>
            <w:tcW w:w="2342" w:type="dxa"/>
            <w:vAlign w:val="center"/>
          </w:tcPr>
          <w:p w14:paraId="2012E4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期权客户管理相关制度</w:t>
            </w:r>
          </w:p>
          <w:p w14:paraId="0FD228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（包括但不限于客户投诉、客户回访、投资者教育等方面）</w:t>
            </w:r>
          </w:p>
        </w:tc>
        <w:tc>
          <w:tcPr>
            <w:tcW w:w="1103" w:type="dxa"/>
            <w:vAlign w:val="center"/>
          </w:tcPr>
          <w:p w14:paraId="0C5E11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0FE008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20A4A0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6A83F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5F91B6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41CEA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44AAED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10222CAD">
            <w:pPr>
              <w:widowControl w:val="0"/>
              <w:snapToGrid w:val="0"/>
              <w:spacing w:line="240" w:lineRule="auto"/>
              <w:ind w:firstLine="0" w:firstLineChars="0"/>
              <w:rPr>
                <w:rFonts w:eastAsia="仿宋" w:cs="Times New Roman"/>
                <w:sz w:val="24"/>
                <w:szCs w:val="28"/>
              </w:rPr>
            </w:pPr>
          </w:p>
        </w:tc>
      </w:tr>
      <w:tr w14:paraId="67644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6B4C23AE">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6301A98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10</w:t>
            </w:r>
          </w:p>
        </w:tc>
        <w:tc>
          <w:tcPr>
            <w:tcW w:w="2342" w:type="dxa"/>
            <w:vAlign w:val="center"/>
          </w:tcPr>
          <w:p w14:paraId="51D12E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合规管理制度（包括但不限于隔离制度、利益冲突防范制度、合规检查与处罚制度）</w:t>
            </w:r>
          </w:p>
        </w:tc>
        <w:tc>
          <w:tcPr>
            <w:tcW w:w="1103" w:type="dxa"/>
            <w:vAlign w:val="center"/>
          </w:tcPr>
          <w:p w14:paraId="610326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50D976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41A9E2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D5975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5BF268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DAAF4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2806FD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344F75BB">
            <w:pPr>
              <w:widowControl w:val="0"/>
              <w:snapToGrid w:val="0"/>
              <w:spacing w:line="240" w:lineRule="auto"/>
              <w:ind w:firstLine="0" w:firstLineChars="0"/>
              <w:rPr>
                <w:rFonts w:eastAsia="仿宋" w:cs="Times New Roman"/>
                <w:sz w:val="24"/>
                <w:szCs w:val="28"/>
              </w:rPr>
            </w:pPr>
          </w:p>
        </w:tc>
      </w:tr>
      <w:tr w14:paraId="5F5A0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0DDC2065">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50D371B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11</w:t>
            </w:r>
          </w:p>
        </w:tc>
        <w:tc>
          <w:tcPr>
            <w:tcW w:w="2342" w:type="dxa"/>
            <w:vAlign w:val="center"/>
          </w:tcPr>
          <w:p w14:paraId="5ABF88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期权经纪合同、风险揭示书、期权</w:t>
            </w:r>
            <w:r>
              <w:rPr>
                <w:rFonts w:eastAsia="仿宋" w:cs="Times New Roman"/>
                <w:sz w:val="24"/>
                <w:szCs w:val="28"/>
              </w:rPr>
              <w:t>投资者适当性综合评估表</w:t>
            </w:r>
            <w:r>
              <w:rPr>
                <w:rFonts w:hint="eastAsia" w:eastAsia="仿宋" w:cs="Times New Roman"/>
                <w:sz w:val="24"/>
                <w:szCs w:val="28"/>
              </w:rPr>
              <w:t>、</w:t>
            </w:r>
            <w:r>
              <w:rPr>
                <w:rFonts w:eastAsia="仿宋" w:cs="Times New Roman"/>
                <w:sz w:val="24"/>
                <w:szCs w:val="28"/>
              </w:rPr>
              <w:t>开户申请表</w:t>
            </w:r>
            <w:r>
              <w:rPr>
                <w:rFonts w:hint="eastAsia" w:eastAsia="仿宋" w:cs="Times New Roman"/>
                <w:sz w:val="24"/>
                <w:szCs w:val="28"/>
              </w:rPr>
              <w:t>等</w:t>
            </w:r>
          </w:p>
        </w:tc>
        <w:tc>
          <w:tcPr>
            <w:tcW w:w="1103" w:type="dxa"/>
            <w:vAlign w:val="center"/>
          </w:tcPr>
          <w:p w14:paraId="00F4AC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457AA6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0D5172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8908E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2CC305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0B892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3E256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2D1A2715">
            <w:pPr>
              <w:widowControl w:val="0"/>
              <w:snapToGrid w:val="0"/>
              <w:spacing w:line="240" w:lineRule="auto"/>
              <w:ind w:firstLine="0" w:firstLineChars="0"/>
              <w:rPr>
                <w:rFonts w:eastAsia="仿宋" w:cs="Times New Roman"/>
                <w:sz w:val="24"/>
                <w:szCs w:val="28"/>
              </w:rPr>
            </w:pPr>
          </w:p>
        </w:tc>
      </w:tr>
      <w:tr w14:paraId="7F242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1CA9C27B">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3796B06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12</w:t>
            </w:r>
          </w:p>
        </w:tc>
        <w:tc>
          <w:tcPr>
            <w:tcW w:w="2342" w:type="dxa"/>
            <w:vAlign w:val="center"/>
          </w:tcPr>
          <w:p w14:paraId="2AF9BF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分支机构业务管理及分支机构相关内部控制</w:t>
            </w:r>
          </w:p>
        </w:tc>
        <w:tc>
          <w:tcPr>
            <w:tcW w:w="1103" w:type="dxa"/>
            <w:vAlign w:val="center"/>
          </w:tcPr>
          <w:p w14:paraId="4A3A1C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3265E7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0A6170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73133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159941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38405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AC0EF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06B5950F">
            <w:pPr>
              <w:widowControl w:val="0"/>
              <w:snapToGrid w:val="0"/>
              <w:spacing w:line="240" w:lineRule="auto"/>
              <w:ind w:firstLine="0" w:firstLineChars="0"/>
              <w:rPr>
                <w:rFonts w:eastAsia="仿宋" w:cs="Times New Roman"/>
                <w:sz w:val="24"/>
                <w:szCs w:val="28"/>
              </w:rPr>
            </w:pPr>
          </w:p>
        </w:tc>
      </w:tr>
      <w:tr w14:paraId="7E081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284523F1">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7F80961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13</w:t>
            </w:r>
          </w:p>
        </w:tc>
        <w:tc>
          <w:tcPr>
            <w:tcW w:w="2342" w:type="dxa"/>
            <w:vAlign w:val="center"/>
          </w:tcPr>
          <w:p w14:paraId="030BAD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期权经纪业务应急预案</w:t>
            </w:r>
          </w:p>
        </w:tc>
        <w:tc>
          <w:tcPr>
            <w:tcW w:w="1103" w:type="dxa"/>
            <w:vAlign w:val="center"/>
          </w:tcPr>
          <w:p w14:paraId="721B48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BCB01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560941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C28227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6ABF33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41580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7FA98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33C3EA81">
            <w:pPr>
              <w:widowControl w:val="0"/>
              <w:snapToGrid w:val="0"/>
              <w:spacing w:line="240" w:lineRule="auto"/>
              <w:ind w:firstLine="0" w:firstLineChars="0"/>
              <w:rPr>
                <w:rFonts w:eastAsia="仿宋" w:cs="Times New Roman"/>
                <w:sz w:val="24"/>
                <w:szCs w:val="28"/>
              </w:rPr>
            </w:pPr>
          </w:p>
        </w:tc>
      </w:tr>
      <w:tr w14:paraId="20458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16CEEE47">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1B97E1A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14</w:t>
            </w:r>
          </w:p>
        </w:tc>
        <w:tc>
          <w:tcPr>
            <w:tcW w:w="2342" w:type="dxa"/>
            <w:vAlign w:val="center"/>
          </w:tcPr>
          <w:p w14:paraId="2CB87E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公司及客户保证金压力测试制度及方案</w:t>
            </w:r>
          </w:p>
        </w:tc>
        <w:tc>
          <w:tcPr>
            <w:tcW w:w="1103" w:type="dxa"/>
            <w:vAlign w:val="center"/>
          </w:tcPr>
          <w:p w14:paraId="3CDC2B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65765D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08DE7B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A30C0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1B534E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5E40A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8663D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055EC8AF">
            <w:pPr>
              <w:widowControl w:val="0"/>
              <w:snapToGrid w:val="0"/>
              <w:spacing w:line="240" w:lineRule="auto"/>
              <w:ind w:firstLine="0" w:firstLineChars="0"/>
              <w:rPr>
                <w:rFonts w:eastAsia="仿宋" w:cs="Times New Roman"/>
                <w:sz w:val="24"/>
                <w:szCs w:val="28"/>
              </w:rPr>
            </w:pPr>
          </w:p>
        </w:tc>
      </w:tr>
      <w:tr w14:paraId="311E7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273D735D">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7B7F80E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15</w:t>
            </w:r>
          </w:p>
        </w:tc>
        <w:tc>
          <w:tcPr>
            <w:tcW w:w="2342" w:type="dxa"/>
            <w:vAlign w:val="center"/>
          </w:tcPr>
          <w:p w14:paraId="658076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公司程序化业务接入管理制度，明确客户进行程序</w:t>
            </w:r>
            <w:r>
              <w:rPr>
                <w:rFonts w:hint="eastAsia" w:eastAsia="仿宋" w:cs="Times New Roman"/>
                <w:sz w:val="24"/>
                <w:szCs w:val="28"/>
                <w:lang w:eastAsia="zh-CN"/>
              </w:rPr>
              <w:t>化</w:t>
            </w:r>
            <w:r>
              <w:rPr>
                <w:rFonts w:hint="eastAsia" w:eastAsia="仿宋" w:cs="Times New Roman"/>
                <w:sz w:val="24"/>
                <w:szCs w:val="28"/>
              </w:rPr>
              <w:t>交易的相关要求和管理机制</w:t>
            </w:r>
          </w:p>
        </w:tc>
        <w:tc>
          <w:tcPr>
            <w:tcW w:w="1103" w:type="dxa"/>
            <w:vAlign w:val="center"/>
          </w:tcPr>
          <w:p w14:paraId="0C605D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67EE44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3AB915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98776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0CE487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62C90A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6B737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1DD936F8">
            <w:pPr>
              <w:widowControl w:val="0"/>
              <w:snapToGrid w:val="0"/>
              <w:spacing w:line="240" w:lineRule="auto"/>
              <w:ind w:firstLine="0" w:firstLineChars="0"/>
              <w:rPr>
                <w:rFonts w:eastAsia="仿宋" w:cs="Times New Roman"/>
                <w:sz w:val="24"/>
                <w:szCs w:val="28"/>
              </w:rPr>
            </w:pPr>
          </w:p>
        </w:tc>
      </w:tr>
      <w:tr w14:paraId="3E3CF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vAlign w:val="center"/>
          </w:tcPr>
          <w:p w14:paraId="791B65D9">
            <w:pPr>
              <w:widowControl w:val="0"/>
              <w:snapToGrid w:val="0"/>
              <w:spacing w:line="240" w:lineRule="auto"/>
              <w:ind w:firstLine="0" w:firstLineChars="0"/>
              <w:jc w:val="center"/>
              <w:rPr>
                <w:rFonts w:eastAsia="仿宋" w:cs="Times New Roman"/>
                <w:b/>
                <w:sz w:val="24"/>
                <w:szCs w:val="28"/>
              </w:rPr>
            </w:pPr>
          </w:p>
        </w:tc>
        <w:tc>
          <w:tcPr>
            <w:tcW w:w="553" w:type="dxa"/>
            <w:vAlign w:val="center"/>
          </w:tcPr>
          <w:p w14:paraId="2B1F200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16</w:t>
            </w:r>
          </w:p>
        </w:tc>
        <w:tc>
          <w:tcPr>
            <w:tcW w:w="2342" w:type="dxa"/>
            <w:vAlign w:val="center"/>
          </w:tcPr>
          <w:p w14:paraId="641BAF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期权业务组织架构图以及期权相关业务人员名册（姓名、部门、岗位、联系方式、主备岗）</w:t>
            </w:r>
          </w:p>
        </w:tc>
        <w:tc>
          <w:tcPr>
            <w:tcW w:w="1103" w:type="dxa"/>
            <w:vAlign w:val="center"/>
          </w:tcPr>
          <w:p w14:paraId="1516E2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2A0DA0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67C204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93D98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6B0534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1C08B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2C41C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088700F9">
            <w:pPr>
              <w:widowControl w:val="0"/>
              <w:snapToGrid w:val="0"/>
              <w:spacing w:line="240" w:lineRule="auto"/>
              <w:ind w:firstLine="0" w:firstLineChars="0"/>
              <w:rPr>
                <w:rFonts w:eastAsia="仿宋" w:cs="Times New Roman"/>
                <w:sz w:val="24"/>
                <w:szCs w:val="28"/>
              </w:rPr>
            </w:pPr>
          </w:p>
        </w:tc>
      </w:tr>
      <w:tr w14:paraId="1160D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Align w:val="center"/>
          </w:tcPr>
          <w:p w14:paraId="44EC839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业务流程</w:t>
            </w:r>
          </w:p>
        </w:tc>
        <w:tc>
          <w:tcPr>
            <w:tcW w:w="553" w:type="dxa"/>
            <w:vAlign w:val="center"/>
          </w:tcPr>
          <w:p w14:paraId="4080D30E">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17</w:t>
            </w:r>
          </w:p>
        </w:tc>
        <w:tc>
          <w:tcPr>
            <w:tcW w:w="2342" w:type="dxa"/>
            <w:vAlign w:val="center"/>
          </w:tcPr>
          <w:p w14:paraId="292D97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期权业务流程明确（包括开户及</w:t>
            </w:r>
            <w:r>
              <w:rPr>
                <w:rFonts w:eastAsia="仿宋" w:cs="Times New Roman"/>
                <w:sz w:val="24"/>
                <w:szCs w:val="28"/>
              </w:rPr>
              <w:t>适当性审核</w:t>
            </w:r>
            <w:r>
              <w:rPr>
                <w:rFonts w:hint="eastAsia" w:eastAsia="仿宋" w:cs="Times New Roman"/>
                <w:sz w:val="24"/>
                <w:szCs w:val="28"/>
              </w:rPr>
              <w:t>流程；资金管理流程</w:t>
            </w:r>
            <w:r>
              <w:rPr>
                <w:rFonts w:eastAsia="仿宋" w:cs="Times New Roman"/>
                <w:sz w:val="24"/>
                <w:szCs w:val="28"/>
              </w:rPr>
              <w:t>；</w:t>
            </w:r>
            <w:r>
              <w:rPr>
                <w:rFonts w:hint="eastAsia" w:eastAsia="仿宋" w:cs="Times New Roman"/>
                <w:sz w:val="24"/>
                <w:szCs w:val="28"/>
              </w:rPr>
              <w:t>持仓限额管理流程;交易管理</w:t>
            </w:r>
            <w:r>
              <w:rPr>
                <w:rFonts w:eastAsia="仿宋" w:cs="Times New Roman"/>
                <w:sz w:val="24"/>
                <w:szCs w:val="28"/>
              </w:rPr>
              <w:t>流程</w:t>
            </w:r>
            <w:r>
              <w:rPr>
                <w:rFonts w:hint="eastAsia" w:eastAsia="仿宋" w:cs="Times New Roman"/>
                <w:sz w:val="24"/>
                <w:szCs w:val="28"/>
              </w:rPr>
              <w:t>（包括</w:t>
            </w:r>
            <w:r>
              <w:rPr>
                <w:rFonts w:eastAsia="仿宋" w:cs="Times New Roman"/>
                <w:sz w:val="24"/>
                <w:szCs w:val="28"/>
              </w:rPr>
              <w:t>行权指令合并申报</w:t>
            </w:r>
            <w:r>
              <w:rPr>
                <w:rFonts w:hint="eastAsia" w:eastAsia="仿宋" w:cs="Times New Roman"/>
                <w:sz w:val="24"/>
                <w:szCs w:val="28"/>
              </w:rPr>
              <w:t>，如有）</w:t>
            </w:r>
            <w:r>
              <w:rPr>
                <w:rFonts w:eastAsia="仿宋" w:cs="Times New Roman"/>
                <w:sz w:val="24"/>
                <w:szCs w:val="28"/>
              </w:rPr>
              <w:t>；</w:t>
            </w:r>
            <w:r>
              <w:rPr>
                <w:rFonts w:hint="eastAsia" w:eastAsia="仿宋" w:cs="Times New Roman"/>
                <w:sz w:val="24"/>
                <w:szCs w:val="28"/>
              </w:rPr>
              <w:t>合约相关信息变化的提醒流程;风险管理和处置流程（包括盯市</w:t>
            </w:r>
            <w:r>
              <w:rPr>
                <w:rFonts w:eastAsia="仿宋" w:cs="Times New Roman"/>
                <w:sz w:val="24"/>
                <w:szCs w:val="28"/>
              </w:rPr>
              <w:t>、强平、备兑不足</w:t>
            </w:r>
            <w:r>
              <w:rPr>
                <w:rFonts w:hint="eastAsia" w:eastAsia="仿宋" w:cs="Times New Roman"/>
                <w:sz w:val="24"/>
                <w:szCs w:val="28"/>
              </w:rPr>
              <w:t>、</w:t>
            </w:r>
            <w:r>
              <w:rPr>
                <w:rFonts w:eastAsia="仿宋" w:cs="Times New Roman"/>
                <w:sz w:val="24"/>
                <w:szCs w:val="28"/>
              </w:rPr>
              <w:t>违约处置</w:t>
            </w:r>
            <w:r>
              <w:rPr>
                <w:rFonts w:hint="eastAsia" w:eastAsia="仿宋" w:cs="Times New Roman"/>
                <w:sz w:val="24"/>
                <w:szCs w:val="28"/>
              </w:rPr>
              <w:t>等）;大户报备</w:t>
            </w:r>
            <w:r>
              <w:rPr>
                <w:rFonts w:eastAsia="仿宋" w:cs="Times New Roman"/>
                <w:sz w:val="24"/>
                <w:szCs w:val="28"/>
              </w:rPr>
              <w:t>；</w:t>
            </w:r>
            <w:r>
              <w:rPr>
                <w:rFonts w:hint="eastAsia" w:eastAsia="仿宋" w:cs="Times New Roman"/>
                <w:sz w:val="24"/>
                <w:szCs w:val="28"/>
              </w:rPr>
              <w:t>客户程序</w:t>
            </w:r>
            <w:r>
              <w:rPr>
                <w:rFonts w:hint="eastAsia" w:eastAsia="仿宋" w:cs="Times New Roman"/>
                <w:sz w:val="24"/>
                <w:szCs w:val="28"/>
                <w:lang w:eastAsia="zh-CN"/>
              </w:rPr>
              <w:t>化</w:t>
            </w:r>
            <w:r>
              <w:rPr>
                <w:rFonts w:hint="eastAsia" w:eastAsia="仿宋" w:cs="Times New Roman"/>
                <w:sz w:val="24"/>
                <w:szCs w:val="28"/>
              </w:rPr>
              <w:t>交易</w:t>
            </w:r>
            <w:r>
              <w:rPr>
                <w:rFonts w:hint="eastAsia" w:eastAsia="仿宋" w:cs="Times New Roman"/>
                <w:sz w:val="24"/>
                <w:szCs w:val="28"/>
                <w:lang w:eastAsia="zh-CN"/>
              </w:rPr>
              <w:t>报告</w:t>
            </w:r>
            <w:r>
              <w:rPr>
                <w:rFonts w:hint="eastAsia" w:eastAsia="仿宋" w:cs="Times New Roman"/>
                <w:sz w:val="24"/>
                <w:szCs w:val="28"/>
              </w:rPr>
              <w:t>、核查及持续监控流程）</w:t>
            </w:r>
          </w:p>
        </w:tc>
        <w:tc>
          <w:tcPr>
            <w:tcW w:w="1103" w:type="dxa"/>
            <w:vAlign w:val="center"/>
          </w:tcPr>
          <w:p w14:paraId="55180F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705BA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《风控管理办法》、《上海证券交易所股票期权试点交易规则》、《经纪业务指南》</w:t>
            </w:r>
          </w:p>
        </w:tc>
        <w:tc>
          <w:tcPr>
            <w:tcW w:w="1241" w:type="dxa"/>
            <w:vAlign w:val="center"/>
          </w:tcPr>
          <w:p w14:paraId="51D30E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8E191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7084E1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4CBDB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BA8A66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6003EB25">
            <w:pPr>
              <w:widowControl w:val="0"/>
              <w:snapToGrid w:val="0"/>
              <w:spacing w:line="240" w:lineRule="auto"/>
              <w:ind w:firstLine="0" w:firstLineChars="0"/>
              <w:rPr>
                <w:rFonts w:eastAsia="仿宋" w:cs="Times New Roman"/>
                <w:sz w:val="24"/>
                <w:szCs w:val="28"/>
              </w:rPr>
            </w:pPr>
          </w:p>
        </w:tc>
      </w:tr>
      <w:tr w14:paraId="39F82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Align w:val="center"/>
          </w:tcPr>
          <w:p w14:paraId="4B8CEAD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系统性能</w:t>
            </w:r>
          </w:p>
        </w:tc>
        <w:tc>
          <w:tcPr>
            <w:tcW w:w="553" w:type="dxa"/>
            <w:vAlign w:val="center"/>
          </w:tcPr>
          <w:p w14:paraId="781A1E22">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18</w:t>
            </w:r>
          </w:p>
        </w:tc>
        <w:tc>
          <w:tcPr>
            <w:tcW w:w="2342" w:type="dxa"/>
            <w:vAlign w:val="center"/>
          </w:tcPr>
          <w:p w14:paraId="1D02EB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对终端系统进行容量、效率、并发、响应时间、统一接入及负载均衡等方面的设计</w:t>
            </w:r>
          </w:p>
        </w:tc>
        <w:tc>
          <w:tcPr>
            <w:tcW w:w="1103" w:type="dxa"/>
            <w:vAlign w:val="center"/>
          </w:tcPr>
          <w:p w14:paraId="13FE21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1928" w:type="dxa"/>
            <w:vAlign w:val="center"/>
          </w:tcPr>
          <w:p w14:paraId="174B0A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41" w:type="dxa"/>
            <w:vAlign w:val="center"/>
          </w:tcPr>
          <w:p w14:paraId="34E433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18E4F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vAlign w:val="center"/>
          </w:tcPr>
          <w:p w14:paraId="3B955E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C5BE1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BEB14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vAlign w:val="center"/>
          </w:tcPr>
          <w:p w14:paraId="247BBC6B">
            <w:pPr>
              <w:widowControl w:val="0"/>
              <w:snapToGrid w:val="0"/>
              <w:spacing w:line="240" w:lineRule="auto"/>
              <w:ind w:firstLine="0" w:firstLineChars="0"/>
              <w:rPr>
                <w:rFonts w:eastAsia="仿宋" w:cs="Times New Roman"/>
                <w:sz w:val="24"/>
                <w:szCs w:val="28"/>
              </w:rPr>
            </w:pPr>
          </w:p>
        </w:tc>
      </w:tr>
      <w:tr w14:paraId="435B8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restart"/>
            <w:tcBorders>
              <w:top w:val="single" w:color="000000" w:sz="4" w:space="0"/>
              <w:left w:val="single" w:color="000000" w:sz="4" w:space="0"/>
              <w:right w:val="single" w:color="000000" w:sz="4" w:space="0"/>
            </w:tcBorders>
            <w:vAlign w:val="center"/>
          </w:tcPr>
          <w:p w14:paraId="7F72C15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培训情况</w:t>
            </w:r>
          </w:p>
          <w:p w14:paraId="706F2248">
            <w:pPr>
              <w:widowControl w:val="0"/>
              <w:snapToGrid w:val="0"/>
              <w:spacing w:line="240" w:lineRule="auto"/>
              <w:ind w:firstLine="0" w:firstLineChars="0"/>
              <w:jc w:val="center"/>
              <w:rPr>
                <w:rFonts w:eastAsia="仿宋" w:cs="Times New Roman"/>
                <w:b/>
                <w:sz w:val="24"/>
                <w:szCs w:val="28"/>
              </w:rPr>
            </w:pPr>
          </w:p>
        </w:tc>
        <w:tc>
          <w:tcPr>
            <w:tcW w:w="553" w:type="dxa"/>
            <w:tcBorders>
              <w:top w:val="single" w:color="000000" w:sz="4" w:space="0"/>
              <w:left w:val="single" w:color="000000" w:sz="4" w:space="0"/>
              <w:bottom w:val="single" w:color="000000" w:sz="4" w:space="0"/>
              <w:right w:val="single" w:color="000000" w:sz="4" w:space="0"/>
            </w:tcBorders>
            <w:vAlign w:val="center"/>
          </w:tcPr>
          <w:p w14:paraId="728306A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19</w:t>
            </w:r>
          </w:p>
        </w:tc>
        <w:tc>
          <w:tcPr>
            <w:tcW w:w="2342" w:type="dxa"/>
            <w:tcBorders>
              <w:top w:val="single" w:color="000000" w:sz="4" w:space="0"/>
              <w:left w:val="single" w:color="000000" w:sz="4" w:space="0"/>
              <w:bottom w:val="single" w:color="000000" w:sz="4" w:space="0"/>
              <w:right w:val="single" w:color="000000" w:sz="4" w:space="0"/>
            </w:tcBorders>
            <w:vAlign w:val="center"/>
          </w:tcPr>
          <w:p w14:paraId="27A462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公司员工和客户参加本所组织的期权业务相关培训的情况</w:t>
            </w:r>
          </w:p>
        </w:tc>
        <w:tc>
          <w:tcPr>
            <w:tcW w:w="1103" w:type="dxa"/>
            <w:tcBorders>
              <w:top w:val="single" w:color="000000" w:sz="4" w:space="0"/>
              <w:left w:val="single" w:color="000000" w:sz="4" w:space="0"/>
              <w:bottom w:val="single" w:color="000000" w:sz="4" w:space="0"/>
              <w:right w:val="single" w:color="000000" w:sz="4" w:space="0"/>
            </w:tcBorders>
            <w:vAlign w:val="center"/>
          </w:tcPr>
          <w:p w14:paraId="685F18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查阅记录</w:t>
            </w:r>
          </w:p>
        </w:tc>
        <w:tc>
          <w:tcPr>
            <w:tcW w:w="1928" w:type="dxa"/>
            <w:tcBorders>
              <w:top w:val="single" w:color="000000" w:sz="4" w:space="0"/>
              <w:left w:val="single" w:color="000000" w:sz="4" w:space="0"/>
              <w:bottom w:val="single" w:color="000000" w:sz="4" w:space="0"/>
              <w:right w:val="single" w:color="000000" w:sz="4" w:space="0"/>
            </w:tcBorders>
            <w:vAlign w:val="center"/>
          </w:tcPr>
          <w:p w14:paraId="23360A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《上海证券交易所股票期权试点投资者适当性管理指引》（以下简称“《适当性指引》”）</w:t>
            </w:r>
          </w:p>
        </w:tc>
        <w:tc>
          <w:tcPr>
            <w:tcW w:w="1241" w:type="dxa"/>
            <w:tcBorders>
              <w:top w:val="single" w:color="000000" w:sz="4" w:space="0"/>
              <w:left w:val="single" w:color="000000" w:sz="4" w:space="0"/>
              <w:bottom w:val="single" w:color="000000" w:sz="4" w:space="0"/>
              <w:right w:val="single" w:color="000000" w:sz="4" w:space="0"/>
            </w:tcBorders>
            <w:vAlign w:val="center"/>
          </w:tcPr>
          <w:p w14:paraId="6B4B95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DBDD6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tcBorders>
              <w:top w:val="single" w:color="000000" w:sz="4" w:space="0"/>
              <w:left w:val="single" w:color="000000" w:sz="4" w:space="0"/>
              <w:bottom w:val="single" w:color="000000" w:sz="4" w:space="0"/>
              <w:right w:val="single" w:color="000000" w:sz="4" w:space="0"/>
            </w:tcBorders>
            <w:vAlign w:val="center"/>
          </w:tcPr>
          <w:p w14:paraId="06E632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82612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79F37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tcBorders>
              <w:top w:val="single" w:color="000000" w:sz="4" w:space="0"/>
              <w:left w:val="single" w:color="000000" w:sz="4" w:space="0"/>
              <w:bottom w:val="single" w:color="000000" w:sz="4" w:space="0"/>
              <w:right w:val="single" w:color="000000" w:sz="4" w:space="0"/>
            </w:tcBorders>
            <w:vAlign w:val="center"/>
          </w:tcPr>
          <w:p w14:paraId="321DFC0F">
            <w:pPr>
              <w:widowControl w:val="0"/>
              <w:snapToGrid w:val="0"/>
              <w:spacing w:line="240" w:lineRule="auto"/>
              <w:ind w:firstLine="0" w:firstLineChars="0"/>
              <w:rPr>
                <w:rFonts w:eastAsia="仿宋" w:cs="Times New Roman"/>
                <w:sz w:val="24"/>
                <w:szCs w:val="28"/>
              </w:rPr>
            </w:pPr>
            <w:bookmarkStart w:id="563" w:name="_Toc57819596"/>
            <w:bookmarkEnd w:id="563"/>
          </w:p>
        </w:tc>
      </w:tr>
      <w:tr w14:paraId="29EB4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52" w:type="dxa"/>
            <w:vMerge w:val="continue"/>
            <w:tcBorders>
              <w:left w:val="single" w:color="000000" w:sz="4" w:space="0"/>
              <w:bottom w:val="single" w:color="000000" w:sz="4" w:space="0"/>
              <w:right w:val="single" w:color="000000" w:sz="4" w:space="0"/>
            </w:tcBorders>
            <w:vAlign w:val="center"/>
          </w:tcPr>
          <w:p w14:paraId="2A26847E">
            <w:pPr>
              <w:widowControl w:val="0"/>
              <w:snapToGrid w:val="0"/>
              <w:spacing w:line="240" w:lineRule="auto"/>
              <w:ind w:firstLine="0" w:firstLineChars="0"/>
              <w:jc w:val="center"/>
              <w:rPr>
                <w:rFonts w:eastAsia="仿宋" w:cs="Times New Roman"/>
                <w:b/>
                <w:sz w:val="24"/>
                <w:szCs w:val="28"/>
              </w:rPr>
            </w:pPr>
          </w:p>
        </w:tc>
        <w:tc>
          <w:tcPr>
            <w:tcW w:w="553" w:type="dxa"/>
            <w:tcBorders>
              <w:top w:val="single" w:color="000000" w:sz="4" w:space="0"/>
              <w:left w:val="single" w:color="000000" w:sz="4" w:space="0"/>
              <w:bottom w:val="single" w:color="000000" w:sz="4" w:space="0"/>
              <w:right w:val="single" w:color="000000" w:sz="4" w:space="0"/>
            </w:tcBorders>
            <w:vAlign w:val="center"/>
          </w:tcPr>
          <w:p w14:paraId="22B5A24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20</w:t>
            </w:r>
          </w:p>
        </w:tc>
        <w:tc>
          <w:tcPr>
            <w:tcW w:w="2342" w:type="dxa"/>
            <w:tcBorders>
              <w:top w:val="single" w:color="000000" w:sz="4" w:space="0"/>
              <w:left w:val="single" w:color="000000" w:sz="4" w:space="0"/>
              <w:bottom w:val="single" w:color="000000" w:sz="4" w:space="0"/>
              <w:right w:val="single" w:color="000000" w:sz="4" w:space="0"/>
            </w:tcBorders>
            <w:vAlign w:val="center"/>
          </w:tcPr>
          <w:p w14:paraId="2D1F42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公司员工和客户参加公司组织的期权业务相关培训的情况</w:t>
            </w:r>
          </w:p>
        </w:tc>
        <w:tc>
          <w:tcPr>
            <w:tcW w:w="1103" w:type="dxa"/>
            <w:tcBorders>
              <w:top w:val="single" w:color="000000" w:sz="4" w:space="0"/>
              <w:left w:val="single" w:color="000000" w:sz="4" w:space="0"/>
              <w:bottom w:val="single" w:color="000000" w:sz="4" w:space="0"/>
              <w:right w:val="single" w:color="000000" w:sz="4" w:space="0"/>
            </w:tcBorders>
            <w:vAlign w:val="center"/>
          </w:tcPr>
          <w:p w14:paraId="234FB7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查阅记录</w:t>
            </w:r>
          </w:p>
        </w:tc>
        <w:tc>
          <w:tcPr>
            <w:tcW w:w="1928" w:type="dxa"/>
            <w:tcBorders>
              <w:top w:val="single" w:color="000000" w:sz="4" w:space="0"/>
              <w:left w:val="single" w:color="000000" w:sz="4" w:space="0"/>
              <w:bottom w:val="single" w:color="000000" w:sz="4" w:space="0"/>
              <w:right w:val="single" w:color="000000" w:sz="4" w:space="0"/>
            </w:tcBorders>
            <w:vAlign w:val="center"/>
          </w:tcPr>
          <w:p w14:paraId="44438D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w:t>
            </w:r>
          </w:p>
        </w:tc>
        <w:tc>
          <w:tcPr>
            <w:tcW w:w="1241" w:type="dxa"/>
            <w:tcBorders>
              <w:top w:val="single" w:color="000000" w:sz="4" w:space="0"/>
              <w:left w:val="single" w:color="000000" w:sz="4" w:space="0"/>
              <w:bottom w:val="single" w:color="000000" w:sz="4" w:space="0"/>
              <w:right w:val="single" w:color="000000" w:sz="4" w:space="0"/>
            </w:tcBorders>
            <w:vAlign w:val="center"/>
          </w:tcPr>
          <w:p w14:paraId="6E9B19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F2250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8" w:type="dxa"/>
            <w:tcBorders>
              <w:top w:val="single" w:color="000000" w:sz="4" w:space="0"/>
              <w:left w:val="single" w:color="000000" w:sz="4" w:space="0"/>
              <w:bottom w:val="single" w:color="000000" w:sz="4" w:space="0"/>
              <w:right w:val="single" w:color="000000" w:sz="4" w:space="0"/>
            </w:tcBorders>
            <w:vAlign w:val="center"/>
          </w:tcPr>
          <w:p w14:paraId="726423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6A2CB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E77E6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967" w:type="dxa"/>
            <w:tcBorders>
              <w:top w:val="single" w:color="000000" w:sz="4" w:space="0"/>
              <w:left w:val="single" w:color="000000" w:sz="4" w:space="0"/>
              <w:bottom w:val="single" w:color="000000" w:sz="4" w:space="0"/>
              <w:right w:val="single" w:color="000000" w:sz="4" w:space="0"/>
            </w:tcBorders>
            <w:vAlign w:val="center"/>
          </w:tcPr>
          <w:p w14:paraId="48CADF74">
            <w:pPr>
              <w:widowControl w:val="0"/>
              <w:snapToGrid w:val="0"/>
              <w:spacing w:line="240" w:lineRule="auto"/>
              <w:ind w:firstLine="0" w:firstLineChars="0"/>
              <w:rPr>
                <w:rFonts w:eastAsia="仿宋" w:cs="Times New Roman"/>
                <w:sz w:val="24"/>
                <w:szCs w:val="28"/>
              </w:rPr>
            </w:pPr>
            <w:bookmarkStart w:id="564" w:name="_Toc57819597"/>
            <w:bookmarkEnd w:id="564"/>
          </w:p>
        </w:tc>
      </w:tr>
    </w:tbl>
    <w:p w14:paraId="427FA1F9">
      <w:pPr>
        <w:spacing w:line="400" w:lineRule="exact"/>
        <w:ind w:firstLine="0" w:firstLineChars="0"/>
        <w:jc w:val="left"/>
        <w:rPr>
          <w:rFonts w:cs="Times New Roman"/>
          <w:sz w:val="28"/>
          <w:szCs w:val="21"/>
        </w:rPr>
      </w:pPr>
    </w:p>
    <w:p w14:paraId="3575B2FC">
      <w:pPr>
        <w:spacing w:line="400" w:lineRule="exact"/>
        <w:ind w:firstLine="0" w:firstLineChars="0"/>
        <w:rPr>
          <w:rFonts w:eastAsia="黑体" w:cs="Times New Roman"/>
          <w:sz w:val="28"/>
          <w:szCs w:val="24"/>
        </w:rPr>
      </w:pPr>
      <w:r>
        <w:rPr>
          <w:rFonts w:hint="eastAsia" w:eastAsia="黑体" w:cs="Times New Roman"/>
          <w:sz w:val="28"/>
          <w:szCs w:val="24"/>
        </w:rPr>
        <w:t>二、功能要求</w:t>
      </w: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565"/>
        <w:gridCol w:w="578"/>
        <w:gridCol w:w="2292"/>
        <w:gridCol w:w="1234"/>
        <w:gridCol w:w="1975"/>
        <w:gridCol w:w="1269"/>
        <w:gridCol w:w="1411"/>
        <w:gridCol w:w="740"/>
      </w:tblGrid>
      <w:tr w14:paraId="21659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65" w:type="dxa"/>
            <w:vMerge w:val="restart"/>
            <w:vAlign w:val="center"/>
          </w:tcPr>
          <w:p w14:paraId="7F604C1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78" w:type="dxa"/>
            <w:vMerge w:val="restart"/>
            <w:vAlign w:val="center"/>
          </w:tcPr>
          <w:p w14:paraId="2C548A7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292" w:type="dxa"/>
            <w:vMerge w:val="restart"/>
            <w:vAlign w:val="center"/>
          </w:tcPr>
          <w:p w14:paraId="4251BFC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234" w:type="dxa"/>
            <w:vMerge w:val="restart"/>
            <w:vAlign w:val="center"/>
          </w:tcPr>
          <w:p w14:paraId="5537952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1975" w:type="dxa"/>
            <w:vMerge w:val="restart"/>
            <w:vAlign w:val="center"/>
          </w:tcPr>
          <w:p w14:paraId="5062D5A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3420" w:type="dxa"/>
            <w:gridSpan w:val="3"/>
            <w:vAlign w:val="center"/>
          </w:tcPr>
          <w:p w14:paraId="7AAB86F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1A8EA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65" w:type="dxa"/>
            <w:vMerge w:val="continue"/>
            <w:vAlign w:val="center"/>
          </w:tcPr>
          <w:p w14:paraId="509F66AA">
            <w:pPr>
              <w:widowControl w:val="0"/>
              <w:snapToGrid w:val="0"/>
              <w:spacing w:line="240" w:lineRule="auto"/>
              <w:ind w:firstLine="0" w:firstLineChars="0"/>
              <w:jc w:val="center"/>
              <w:rPr>
                <w:rFonts w:eastAsia="仿宋" w:cs="Times New Roman"/>
                <w:b/>
                <w:sz w:val="24"/>
                <w:szCs w:val="28"/>
              </w:rPr>
            </w:pPr>
          </w:p>
        </w:tc>
        <w:tc>
          <w:tcPr>
            <w:tcW w:w="578" w:type="dxa"/>
            <w:vMerge w:val="continue"/>
            <w:vAlign w:val="center"/>
          </w:tcPr>
          <w:p w14:paraId="0E325EFA">
            <w:pPr>
              <w:widowControl w:val="0"/>
              <w:snapToGrid w:val="0"/>
              <w:spacing w:line="240" w:lineRule="auto"/>
              <w:ind w:firstLine="0" w:firstLineChars="0"/>
              <w:jc w:val="center"/>
              <w:rPr>
                <w:rFonts w:eastAsia="仿宋" w:cs="Times New Roman"/>
                <w:b/>
                <w:sz w:val="24"/>
                <w:szCs w:val="28"/>
              </w:rPr>
            </w:pPr>
          </w:p>
        </w:tc>
        <w:tc>
          <w:tcPr>
            <w:tcW w:w="2292" w:type="dxa"/>
            <w:vMerge w:val="continue"/>
            <w:vAlign w:val="center"/>
          </w:tcPr>
          <w:p w14:paraId="3D7260C8">
            <w:pPr>
              <w:widowControl w:val="0"/>
              <w:snapToGrid w:val="0"/>
              <w:spacing w:line="240" w:lineRule="auto"/>
              <w:ind w:firstLine="0" w:firstLineChars="0"/>
              <w:jc w:val="center"/>
              <w:rPr>
                <w:rFonts w:eastAsia="仿宋" w:cs="Times New Roman"/>
                <w:b/>
                <w:sz w:val="24"/>
                <w:szCs w:val="28"/>
              </w:rPr>
            </w:pPr>
          </w:p>
        </w:tc>
        <w:tc>
          <w:tcPr>
            <w:tcW w:w="1234" w:type="dxa"/>
            <w:vMerge w:val="continue"/>
            <w:vAlign w:val="center"/>
          </w:tcPr>
          <w:p w14:paraId="67F7A8D4">
            <w:pPr>
              <w:widowControl w:val="0"/>
              <w:snapToGrid w:val="0"/>
              <w:spacing w:line="240" w:lineRule="auto"/>
              <w:ind w:firstLine="0" w:firstLineChars="0"/>
              <w:jc w:val="center"/>
              <w:rPr>
                <w:rFonts w:eastAsia="仿宋" w:cs="Times New Roman"/>
                <w:b/>
                <w:sz w:val="24"/>
                <w:szCs w:val="28"/>
              </w:rPr>
            </w:pPr>
          </w:p>
        </w:tc>
        <w:tc>
          <w:tcPr>
            <w:tcW w:w="1975" w:type="dxa"/>
            <w:vMerge w:val="continue"/>
            <w:vAlign w:val="center"/>
          </w:tcPr>
          <w:p w14:paraId="2314B47E">
            <w:pPr>
              <w:widowControl w:val="0"/>
              <w:snapToGrid w:val="0"/>
              <w:spacing w:line="240" w:lineRule="auto"/>
              <w:ind w:firstLine="0" w:firstLineChars="0"/>
              <w:jc w:val="center"/>
              <w:rPr>
                <w:rFonts w:eastAsia="仿宋" w:cs="Times New Roman"/>
                <w:b/>
                <w:sz w:val="24"/>
                <w:szCs w:val="28"/>
              </w:rPr>
            </w:pPr>
          </w:p>
        </w:tc>
        <w:tc>
          <w:tcPr>
            <w:tcW w:w="1269" w:type="dxa"/>
            <w:vAlign w:val="center"/>
          </w:tcPr>
          <w:p w14:paraId="6C5D19B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411" w:type="dxa"/>
            <w:vAlign w:val="center"/>
          </w:tcPr>
          <w:p w14:paraId="4AAF85E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740" w:type="dxa"/>
            <w:vAlign w:val="center"/>
          </w:tcPr>
          <w:p w14:paraId="4AB19AD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01AB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restart"/>
            <w:vAlign w:val="center"/>
          </w:tcPr>
          <w:p w14:paraId="6CD73C9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账户及适当性管理业务</w:t>
            </w:r>
          </w:p>
        </w:tc>
        <w:tc>
          <w:tcPr>
            <w:tcW w:w="578" w:type="dxa"/>
            <w:vAlign w:val="center"/>
          </w:tcPr>
          <w:p w14:paraId="183D2FF3">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21</w:t>
            </w:r>
          </w:p>
        </w:tc>
        <w:tc>
          <w:tcPr>
            <w:tcW w:w="2292" w:type="dxa"/>
            <w:vAlign w:val="center"/>
          </w:tcPr>
          <w:p w14:paraId="7E6539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支持投资者评估、准入、分级及动态持续管理功能</w:t>
            </w:r>
          </w:p>
        </w:tc>
        <w:tc>
          <w:tcPr>
            <w:tcW w:w="1234" w:type="dxa"/>
            <w:vAlign w:val="center"/>
          </w:tcPr>
          <w:p w14:paraId="0C651E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E46F4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《适当性指引》、《经纪业务指南》</w:t>
            </w:r>
          </w:p>
        </w:tc>
        <w:tc>
          <w:tcPr>
            <w:tcW w:w="1269" w:type="dxa"/>
            <w:vAlign w:val="center"/>
          </w:tcPr>
          <w:p w14:paraId="231C4F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0208B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4B8DD0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A925C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BEE50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09F7DDB">
            <w:pPr>
              <w:widowControl w:val="0"/>
              <w:snapToGrid w:val="0"/>
              <w:spacing w:line="240" w:lineRule="auto"/>
              <w:ind w:firstLine="0" w:firstLineChars="0"/>
              <w:rPr>
                <w:rFonts w:eastAsia="仿宋" w:cs="Times New Roman"/>
                <w:sz w:val="24"/>
                <w:szCs w:val="28"/>
              </w:rPr>
            </w:pPr>
          </w:p>
        </w:tc>
      </w:tr>
      <w:tr w14:paraId="0AA17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BD1E134">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DB94EA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22</w:t>
            </w:r>
          </w:p>
        </w:tc>
        <w:tc>
          <w:tcPr>
            <w:tcW w:w="2292" w:type="dxa"/>
            <w:vAlign w:val="center"/>
          </w:tcPr>
          <w:p w14:paraId="490B6E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开户：实名制校验、风险教育、风险揭示等环节；</w:t>
            </w:r>
            <w:r>
              <w:rPr>
                <w:rFonts w:eastAsia="仿宋" w:cs="Times New Roman"/>
                <w:sz w:val="24"/>
                <w:szCs w:val="28"/>
              </w:rPr>
              <w:t>账户管理、客户交易参数（</w:t>
            </w:r>
            <w:r>
              <w:rPr>
                <w:rFonts w:hint="eastAsia" w:eastAsia="仿宋" w:cs="Times New Roman"/>
                <w:sz w:val="24"/>
                <w:szCs w:val="28"/>
              </w:rPr>
              <w:t>如</w:t>
            </w:r>
            <w:r>
              <w:rPr>
                <w:rFonts w:eastAsia="仿宋" w:cs="Times New Roman"/>
                <w:sz w:val="24"/>
                <w:szCs w:val="28"/>
              </w:rPr>
              <w:t>限仓限购额度等）</w:t>
            </w:r>
            <w:r>
              <w:rPr>
                <w:rFonts w:hint="eastAsia" w:eastAsia="仿宋" w:cs="Times New Roman"/>
                <w:sz w:val="24"/>
                <w:szCs w:val="28"/>
              </w:rPr>
              <w:t>设置</w:t>
            </w:r>
          </w:p>
        </w:tc>
        <w:tc>
          <w:tcPr>
            <w:tcW w:w="1234" w:type="dxa"/>
            <w:vAlign w:val="center"/>
          </w:tcPr>
          <w:p w14:paraId="569D0A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19E99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w:t>
            </w:r>
          </w:p>
        </w:tc>
        <w:tc>
          <w:tcPr>
            <w:tcW w:w="1269" w:type="dxa"/>
            <w:vAlign w:val="center"/>
          </w:tcPr>
          <w:p w14:paraId="1C619D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7EBB5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88D38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CC6B1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D8FC6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FC6D9E1">
            <w:pPr>
              <w:widowControl w:val="0"/>
              <w:snapToGrid w:val="0"/>
              <w:spacing w:line="240" w:lineRule="auto"/>
              <w:ind w:firstLine="0" w:firstLineChars="0"/>
              <w:rPr>
                <w:rFonts w:eastAsia="仿宋" w:cs="Times New Roman"/>
                <w:sz w:val="24"/>
                <w:szCs w:val="28"/>
              </w:rPr>
            </w:pPr>
          </w:p>
        </w:tc>
      </w:tr>
      <w:tr w14:paraId="69F8E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700DE94C">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0BC0C5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23</w:t>
            </w:r>
          </w:p>
        </w:tc>
        <w:tc>
          <w:tcPr>
            <w:tcW w:w="2292" w:type="dxa"/>
            <w:vAlign w:val="center"/>
          </w:tcPr>
          <w:p w14:paraId="2931FF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销户</w:t>
            </w:r>
            <w:r>
              <w:rPr>
                <w:rFonts w:eastAsia="仿宋" w:cs="Times New Roman"/>
                <w:sz w:val="24"/>
                <w:szCs w:val="28"/>
              </w:rPr>
              <w:t>：</w:t>
            </w:r>
            <w:r>
              <w:rPr>
                <w:rFonts w:hint="eastAsia" w:eastAsia="仿宋" w:cs="Times New Roman"/>
                <w:sz w:val="24"/>
                <w:szCs w:val="28"/>
              </w:rPr>
              <w:t>现货撤消指定交易、衍生品资金账户及合约账户销户的前端控制，校验撤消指定或衍生品资金账户、合约账户销户时是否存在未了结合约</w:t>
            </w:r>
          </w:p>
        </w:tc>
        <w:tc>
          <w:tcPr>
            <w:tcW w:w="1234" w:type="dxa"/>
            <w:vAlign w:val="center"/>
          </w:tcPr>
          <w:p w14:paraId="7E1C38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BBB74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1835B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753B4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14B1B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96BB1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3936D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9CBC95F">
            <w:pPr>
              <w:widowControl w:val="0"/>
              <w:snapToGrid w:val="0"/>
              <w:spacing w:line="240" w:lineRule="auto"/>
              <w:ind w:firstLine="0" w:firstLineChars="0"/>
              <w:rPr>
                <w:rFonts w:eastAsia="仿宋" w:cs="Times New Roman"/>
                <w:sz w:val="24"/>
                <w:szCs w:val="28"/>
              </w:rPr>
            </w:pPr>
          </w:p>
        </w:tc>
      </w:tr>
      <w:tr w14:paraId="2C7BE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0D51914E">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D40058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24</w:t>
            </w:r>
          </w:p>
        </w:tc>
        <w:tc>
          <w:tcPr>
            <w:tcW w:w="2292" w:type="dxa"/>
            <w:vAlign w:val="center"/>
          </w:tcPr>
          <w:p w14:paraId="6C1FC0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支持客户衍生品资金账户与银行账户签约及解约</w:t>
            </w:r>
          </w:p>
        </w:tc>
        <w:tc>
          <w:tcPr>
            <w:tcW w:w="1234" w:type="dxa"/>
            <w:vAlign w:val="center"/>
          </w:tcPr>
          <w:p w14:paraId="1932DA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EFCC1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518C6F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39FA2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E28F5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4646D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BD5D1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4D8CEA2">
            <w:pPr>
              <w:widowControl w:val="0"/>
              <w:snapToGrid w:val="0"/>
              <w:spacing w:line="240" w:lineRule="auto"/>
              <w:ind w:firstLine="0" w:firstLineChars="0"/>
              <w:rPr>
                <w:rFonts w:eastAsia="仿宋" w:cs="Times New Roman"/>
                <w:sz w:val="24"/>
                <w:szCs w:val="28"/>
              </w:rPr>
            </w:pPr>
          </w:p>
        </w:tc>
      </w:tr>
      <w:tr w14:paraId="333D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7E5164E">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1A95822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25</w:t>
            </w:r>
          </w:p>
        </w:tc>
        <w:tc>
          <w:tcPr>
            <w:tcW w:w="2292" w:type="dxa"/>
            <w:vAlign w:val="center"/>
          </w:tcPr>
          <w:p w14:paraId="74B002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支持客户银衍转账</w:t>
            </w:r>
          </w:p>
        </w:tc>
        <w:tc>
          <w:tcPr>
            <w:tcW w:w="1234" w:type="dxa"/>
            <w:vAlign w:val="center"/>
          </w:tcPr>
          <w:p w14:paraId="1F5799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EB9FC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01228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3B394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B4328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A7509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6FED3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91344A4">
            <w:pPr>
              <w:widowControl w:val="0"/>
              <w:snapToGrid w:val="0"/>
              <w:spacing w:line="240" w:lineRule="auto"/>
              <w:ind w:firstLine="0" w:firstLineChars="0"/>
              <w:rPr>
                <w:rFonts w:eastAsia="仿宋" w:cs="Times New Roman"/>
                <w:sz w:val="24"/>
                <w:szCs w:val="28"/>
              </w:rPr>
            </w:pPr>
          </w:p>
        </w:tc>
      </w:tr>
      <w:tr w14:paraId="10AC4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4B65D579">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1CBB672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26</w:t>
            </w:r>
          </w:p>
        </w:tc>
        <w:tc>
          <w:tcPr>
            <w:tcW w:w="2292" w:type="dxa"/>
            <w:vAlign w:val="center"/>
          </w:tcPr>
          <w:p w14:paraId="5C707DE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具有投资者影像档案管理功能</w:t>
            </w:r>
          </w:p>
        </w:tc>
        <w:tc>
          <w:tcPr>
            <w:tcW w:w="1234" w:type="dxa"/>
            <w:vAlign w:val="center"/>
          </w:tcPr>
          <w:p w14:paraId="629C19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99CA7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9D53E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4BEBE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4B06D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F64F5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F2F00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93A67C9">
            <w:pPr>
              <w:widowControl w:val="0"/>
              <w:snapToGrid w:val="0"/>
              <w:spacing w:line="240" w:lineRule="auto"/>
              <w:ind w:firstLine="0" w:firstLineChars="0"/>
              <w:rPr>
                <w:rFonts w:eastAsia="仿宋" w:cs="Times New Roman"/>
                <w:sz w:val="24"/>
                <w:szCs w:val="28"/>
              </w:rPr>
            </w:pPr>
          </w:p>
        </w:tc>
      </w:tr>
      <w:tr w14:paraId="1AD1D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restart"/>
            <w:vAlign w:val="center"/>
          </w:tcPr>
          <w:p w14:paraId="3C8ECDF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交易终端</w:t>
            </w:r>
          </w:p>
        </w:tc>
        <w:tc>
          <w:tcPr>
            <w:tcW w:w="578" w:type="dxa"/>
            <w:vAlign w:val="center"/>
          </w:tcPr>
          <w:p w14:paraId="4D8130F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27</w:t>
            </w:r>
          </w:p>
        </w:tc>
        <w:tc>
          <w:tcPr>
            <w:tcW w:w="2292" w:type="dxa"/>
            <w:vAlign w:val="center"/>
          </w:tcPr>
          <w:p w14:paraId="704117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应支持行情“</w:t>
            </w:r>
            <w:r>
              <w:rPr>
                <w:rFonts w:eastAsia="仿宋" w:cs="Times New Roman"/>
                <w:sz w:val="24"/>
                <w:szCs w:val="28"/>
              </w:rPr>
              <w:t>T”（对同</w:t>
            </w:r>
            <w:r>
              <w:rPr>
                <w:rFonts w:hint="eastAsia" w:eastAsia="仿宋" w:cs="Times New Roman"/>
                <w:sz w:val="24"/>
                <w:szCs w:val="28"/>
              </w:rPr>
              <w:t>一行权价左右两边显示认购、认沽报价与成交情况）型显示</w:t>
            </w:r>
          </w:p>
        </w:tc>
        <w:tc>
          <w:tcPr>
            <w:tcW w:w="1234" w:type="dxa"/>
            <w:vAlign w:val="center"/>
          </w:tcPr>
          <w:p w14:paraId="0C380E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D9C3B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DA412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A672A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2D41E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EAC5C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55B0A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0BE97CA">
            <w:pPr>
              <w:widowControl w:val="0"/>
              <w:snapToGrid w:val="0"/>
              <w:spacing w:line="240" w:lineRule="auto"/>
              <w:ind w:firstLine="0" w:firstLineChars="0"/>
              <w:rPr>
                <w:rFonts w:eastAsia="仿宋" w:cs="Times New Roman"/>
                <w:sz w:val="24"/>
                <w:szCs w:val="28"/>
              </w:rPr>
            </w:pPr>
          </w:p>
        </w:tc>
      </w:tr>
      <w:tr w14:paraId="587C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007CBC4B">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4C50417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28</w:t>
            </w:r>
          </w:p>
        </w:tc>
        <w:tc>
          <w:tcPr>
            <w:tcW w:w="2292" w:type="dxa"/>
            <w:vAlign w:val="center"/>
          </w:tcPr>
          <w:p w14:paraId="3DEB6E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应支持行权、除权、新挂</w:t>
            </w:r>
            <w:r>
              <w:rPr>
                <w:rFonts w:eastAsia="仿宋" w:cs="Times New Roman"/>
                <w:sz w:val="24"/>
                <w:szCs w:val="28"/>
              </w:rPr>
              <w:t>、摘牌、</w:t>
            </w:r>
            <w:r>
              <w:rPr>
                <w:rFonts w:hint="eastAsia" w:eastAsia="仿宋" w:cs="Times New Roman"/>
                <w:sz w:val="24"/>
                <w:szCs w:val="28"/>
              </w:rPr>
              <w:t>停牌等资讯信息的展示</w:t>
            </w:r>
          </w:p>
        </w:tc>
        <w:tc>
          <w:tcPr>
            <w:tcW w:w="1234" w:type="dxa"/>
            <w:vAlign w:val="center"/>
          </w:tcPr>
          <w:p w14:paraId="0C03E9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0D297C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B8E9A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8C06E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095847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ABBCA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15451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AC8E816">
            <w:pPr>
              <w:widowControl w:val="0"/>
              <w:snapToGrid w:val="0"/>
              <w:spacing w:line="240" w:lineRule="auto"/>
              <w:ind w:firstLine="0" w:firstLineChars="0"/>
              <w:rPr>
                <w:rFonts w:eastAsia="仿宋" w:cs="Times New Roman"/>
                <w:sz w:val="24"/>
                <w:szCs w:val="28"/>
              </w:rPr>
            </w:pPr>
          </w:p>
        </w:tc>
      </w:tr>
      <w:tr w14:paraId="0C5E5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5F0942F">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971A99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29</w:t>
            </w:r>
          </w:p>
        </w:tc>
        <w:tc>
          <w:tcPr>
            <w:tcW w:w="2292" w:type="dxa"/>
            <w:vAlign w:val="center"/>
          </w:tcPr>
          <w:p w14:paraId="4883C9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支持客户通过依次选择标的、期权类型、到期月份、行权价格等确定交易合约，或通过合约编码、合约交易代码进行交易委托</w:t>
            </w:r>
          </w:p>
        </w:tc>
        <w:tc>
          <w:tcPr>
            <w:tcW w:w="1234" w:type="dxa"/>
            <w:vAlign w:val="center"/>
          </w:tcPr>
          <w:p w14:paraId="02D6A7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FE929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EFCEE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8459EE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1ECC0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2A7B9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77A02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EB40CDC">
            <w:pPr>
              <w:widowControl w:val="0"/>
              <w:snapToGrid w:val="0"/>
              <w:spacing w:line="240" w:lineRule="auto"/>
              <w:ind w:firstLine="0" w:firstLineChars="0"/>
              <w:rPr>
                <w:rFonts w:eastAsia="仿宋" w:cs="Times New Roman"/>
                <w:sz w:val="24"/>
                <w:szCs w:val="28"/>
              </w:rPr>
            </w:pPr>
          </w:p>
        </w:tc>
      </w:tr>
      <w:tr w14:paraId="705BD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195846C0">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A9F043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30</w:t>
            </w:r>
          </w:p>
        </w:tc>
        <w:tc>
          <w:tcPr>
            <w:tcW w:w="2292" w:type="dxa"/>
            <w:vAlign w:val="center"/>
          </w:tcPr>
          <w:p w14:paraId="7171DB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支持买卖指令，包括买入开仓</w:t>
            </w:r>
            <w:r>
              <w:rPr>
                <w:rFonts w:eastAsia="仿宋" w:cs="Times New Roman"/>
                <w:sz w:val="24"/>
                <w:szCs w:val="28"/>
              </w:rPr>
              <w:t>/买入平仓/卖出</w:t>
            </w:r>
            <w:r>
              <w:rPr>
                <w:rFonts w:hint="eastAsia" w:eastAsia="仿宋" w:cs="Times New Roman"/>
                <w:sz w:val="24"/>
                <w:szCs w:val="28"/>
              </w:rPr>
              <w:t>开</w:t>
            </w:r>
            <w:r>
              <w:rPr>
                <w:rFonts w:eastAsia="仿宋" w:cs="Times New Roman"/>
                <w:sz w:val="24"/>
                <w:szCs w:val="28"/>
              </w:rPr>
              <w:t>仓/卖出</w:t>
            </w:r>
            <w:r>
              <w:rPr>
                <w:rFonts w:hint="eastAsia" w:eastAsia="仿宋" w:cs="Times New Roman"/>
                <w:sz w:val="24"/>
                <w:szCs w:val="28"/>
              </w:rPr>
              <w:t>平</w:t>
            </w:r>
            <w:r>
              <w:rPr>
                <w:rFonts w:eastAsia="仿宋" w:cs="Times New Roman"/>
                <w:sz w:val="24"/>
                <w:szCs w:val="28"/>
              </w:rPr>
              <w:t>仓/备兑开仓/备兑平仓/撤单</w:t>
            </w:r>
            <w:r>
              <w:rPr>
                <w:rFonts w:hint="eastAsia" w:eastAsia="仿宋" w:cs="Times New Roman"/>
                <w:sz w:val="24"/>
                <w:szCs w:val="28"/>
              </w:rPr>
              <w:t>，</w:t>
            </w:r>
            <w:r>
              <w:rPr>
                <w:rFonts w:eastAsia="仿宋" w:cs="Times New Roman"/>
                <w:sz w:val="24"/>
                <w:szCs w:val="28"/>
              </w:rPr>
              <w:t>支持期权行权现货</w:t>
            </w:r>
            <w:r>
              <w:rPr>
                <w:rFonts w:hint="eastAsia" w:eastAsia="仿宋" w:cs="Times New Roman"/>
                <w:sz w:val="24"/>
                <w:szCs w:val="28"/>
              </w:rPr>
              <w:t>交收</w:t>
            </w:r>
          </w:p>
        </w:tc>
        <w:tc>
          <w:tcPr>
            <w:tcW w:w="1234" w:type="dxa"/>
            <w:vAlign w:val="center"/>
          </w:tcPr>
          <w:p w14:paraId="3805FF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9184E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1269" w:type="dxa"/>
            <w:vAlign w:val="center"/>
          </w:tcPr>
          <w:p w14:paraId="147CFE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A49C2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1AB738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20674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CAC83A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143C7FC">
            <w:pPr>
              <w:widowControl w:val="0"/>
              <w:snapToGrid w:val="0"/>
              <w:spacing w:line="240" w:lineRule="auto"/>
              <w:ind w:firstLine="0" w:firstLineChars="0"/>
              <w:rPr>
                <w:rFonts w:eastAsia="仿宋" w:cs="Times New Roman"/>
                <w:sz w:val="24"/>
                <w:szCs w:val="28"/>
              </w:rPr>
            </w:pPr>
          </w:p>
        </w:tc>
      </w:tr>
      <w:tr w14:paraId="6D43D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0DE112D1">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E9B977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31</w:t>
            </w:r>
          </w:p>
        </w:tc>
        <w:tc>
          <w:tcPr>
            <w:tcW w:w="2292" w:type="dxa"/>
            <w:vAlign w:val="center"/>
          </w:tcPr>
          <w:p w14:paraId="020FA62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支持交易订单，包括限价</w:t>
            </w:r>
            <w:r>
              <w:rPr>
                <w:rFonts w:eastAsia="仿宋" w:cs="Times New Roman"/>
                <w:sz w:val="24"/>
                <w:szCs w:val="28"/>
              </w:rPr>
              <w:t>/市价剩余转限价/市价剩余撤销/</w:t>
            </w:r>
            <w:r>
              <w:rPr>
                <w:rFonts w:hint="eastAsia" w:eastAsia="仿宋" w:cs="Times New Roman"/>
                <w:sz w:val="24"/>
                <w:szCs w:val="28"/>
              </w:rPr>
              <w:t>全额即时限价申报/全额即时市价申报</w:t>
            </w:r>
          </w:p>
        </w:tc>
        <w:tc>
          <w:tcPr>
            <w:tcW w:w="1234" w:type="dxa"/>
            <w:vAlign w:val="center"/>
          </w:tcPr>
          <w:p w14:paraId="2D64DB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15656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1269" w:type="dxa"/>
            <w:vAlign w:val="center"/>
          </w:tcPr>
          <w:p w14:paraId="3841C5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E480D8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3D3CC6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F94DB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CC114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46420197">
            <w:pPr>
              <w:widowControl w:val="0"/>
              <w:snapToGrid w:val="0"/>
              <w:spacing w:line="240" w:lineRule="auto"/>
              <w:ind w:firstLine="0" w:firstLineChars="0"/>
              <w:rPr>
                <w:rFonts w:eastAsia="仿宋" w:cs="Times New Roman"/>
                <w:sz w:val="24"/>
                <w:szCs w:val="28"/>
              </w:rPr>
            </w:pPr>
          </w:p>
        </w:tc>
      </w:tr>
      <w:tr w14:paraId="70712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5F8B4FC4">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E7FED8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32</w:t>
            </w:r>
          </w:p>
        </w:tc>
        <w:tc>
          <w:tcPr>
            <w:tcW w:w="2292" w:type="dxa"/>
            <w:vAlign w:val="center"/>
          </w:tcPr>
          <w:p w14:paraId="0CC8B1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支持非交易指令，包括证券锁定与解锁指令</w:t>
            </w:r>
            <w:r>
              <w:rPr>
                <w:rFonts w:eastAsia="仿宋" w:cs="Times New Roman"/>
                <w:sz w:val="24"/>
                <w:szCs w:val="28"/>
              </w:rPr>
              <w:t>/行权指令</w:t>
            </w:r>
            <w:r>
              <w:rPr>
                <w:rFonts w:hint="eastAsia" w:eastAsia="仿宋" w:cs="Times New Roman"/>
                <w:sz w:val="24"/>
                <w:szCs w:val="28"/>
              </w:rPr>
              <w:t>（包括行权指令合并</w:t>
            </w:r>
            <w:r>
              <w:rPr>
                <w:rFonts w:eastAsia="仿宋" w:cs="Times New Roman"/>
                <w:sz w:val="24"/>
                <w:szCs w:val="28"/>
              </w:rPr>
              <w:t>申报，如有</w:t>
            </w:r>
            <w:r>
              <w:rPr>
                <w:rFonts w:hint="eastAsia" w:eastAsia="仿宋" w:cs="Times New Roman"/>
                <w:sz w:val="24"/>
                <w:szCs w:val="28"/>
              </w:rPr>
              <w:t>）</w:t>
            </w:r>
            <w:r>
              <w:rPr>
                <w:rFonts w:eastAsia="仿宋" w:cs="Times New Roman"/>
                <w:sz w:val="24"/>
                <w:szCs w:val="28"/>
              </w:rPr>
              <w:t>/撤销行权指令</w:t>
            </w:r>
          </w:p>
        </w:tc>
        <w:tc>
          <w:tcPr>
            <w:tcW w:w="1234" w:type="dxa"/>
            <w:vAlign w:val="center"/>
          </w:tcPr>
          <w:p w14:paraId="0A3E46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22273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EBA17D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43169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06B1B7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ACBF7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DE5F3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9BF7179">
            <w:pPr>
              <w:widowControl w:val="0"/>
              <w:snapToGrid w:val="0"/>
              <w:spacing w:line="240" w:lineRule="auto"/>
              <w:ind w:firstLine="0" w:firstLineChars="0"/>
              <w:rPr>
                <w:rFonts w:eastAsia="仿宋" w:cs="Times New Roman"/>
                <w:sz w:val="24"/>
                <w:szCs w:val="28"/>
              </w:rPr>
            </w:pPr>
          </w:p>
        </w:tc>
      </w:tr>
      <w:tr w14:paraId="62D4A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40AF6F21">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25470FD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33</w:t>
            </w:r>
          </w:p>
        </w:tc>
        <w:tc>
          <w:tcPr>
            <w:tcW w:w="2292" w:type="dxa"/>
            <w:vAlign w:val="center"/>
          </w:tcPr>
          <w:p w14:paraId="323796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合约调整前提醒（提前5日）</w:t>
            </w:r>
          </w:p>
        </w:tc>
        <w:tc>
          <w:tcPr>
            <w:tcW w:w="1234" w:type="dxa"/>
            <w:vAlign w:val="center"/>
          </w:tcPr>
          <w:p w14:paraId="19978B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5C3CD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3A383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30AE9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4BF2C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50A08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CE880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E8A831C">
            <w:pPr>
              <w:widowControl w:val="0"/>
              <w:snapToGrid w:val="0"/>
              <w:spacing w:line="240" w:lineRule="auto"/>
              <w:ind w:firstLine="0" w:firstLineChars="0"/>
              <w:rPr>
                <w:rFonts w:eastAsia="仿宋" w:cs="Times New Roman"/>
                <w:sz w:val="24"/>
                <w:szCs w:val="28"/>
              </w:rPr>
            </w:pPr>
          </w:p>
        </w:tc>
      </w:tr>
      <w:tr w14:paraId="6C15B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126D3C8A">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3B845E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34</w:t>
            </w:r>
          </w:p>
        </w:tc>
        <w:tc>
          <w:tcPr>
            <w:tcW w:w="2292" w:type="dxa"/>
            <w:vAlign w:val="center"/>
          </w:tcPr>
          <w:p w14:paraId="4F5DE1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备兑持仓需补足数量提醒，</w:t>
            </w:r>
            <w:r>
              <w:rPr>
                <w:rFonts w:eastAsia="仿宋" w:cs="Times New Roman"/>
                <w:sz w:val="24"/>
                <w:szCs w:val="28"/>
              </w:rPr>
              <w:t>包括因除权除息以及行权交收</w:t>
            </w:r>
            <w:r>
              <w:rPr>
                <w:rFonts w:hint="eastAsia" w:eastAsia="仿宋" w:cs="Times New Roman"/>
                <w:sz w:val="24"/>
                <w:szCs w:val="28"/>
              </w:rPr>
              <w:t>等</w:t>
            </w:r>
            <w:r>
              <w:rPr>
                <w:rFonts w:eastAsia="仿宋" w:cs="Times New Roman"/>
                <w:sz w:val="24"/>
                <w:szCs w:val="28"/>
              </w:rPr>
              <w:t>情况</w:t>
            </w:r>
            <w:r>
              <w:rPr>
                <w:rFonts w:hint="eastAsia" w:eastAsia="仿宋" w:cs="Times New Roman"/>
                <w:sz w:val="24"/>
                <w:szCs w:val="28"/>
              </w:rPr>
              <w:t>导致</w:t>
            </w:r>
          </w:p>
        </w:tc>
        <w:tc>
          <w:tcPr>
            <w:tcW w:w="1234" w:type="dxa"/>
            <w:vAlign w:val="center"/>
          </w:tcPr>
          <w:p w14:paraId="5F9E8C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091815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91BE2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DD16C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62D6E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7F5EA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029EA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30403E2">
            <w:pPr>
              <w:widowControl w:val="0"/>
              <w:snapToGrid w:val="0"/>
              <w:spacing w:line="240" w:lineRule="auto"/>
              <w:ind w:firstLine="0" w:firstLineChars="0"/>
              <w:rPr>
                <w:rFonts w:eastAsia="仿宋" w:cs="Times New Roman"/>
                <w:sz w:val="24"/>
                <w:szCs w:val="28"/>
              </w:rPr>
            </w:pPr>
          </w:p>
        </w:tc>
      </w:tr>
      <w:tr w14:paraId="0EE6A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188629B2">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DFA4FE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35</w:t>
            </w:r>
          </w:p>
        </w:tc>
        <w:tc>
          <w:tcPr>
            <w:tcW w:w="2292" w:type="dxa"/>
            <w:vAlign w:val="center"/>
          </w:tcPr>
          <w:p w14:paraId="36D935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持有快到期或到期合约的临近行权提醒，尤其是实值期权行权提醒</w:t>
            </w:r>
          </w:p>
        </w:tc>
        <w:tc>
          <w:tcPr>
            <w:tcW w:w="1234" w:type="dxa"/>
            <w:vAlign w:val="center"/>
          </w:tcPr>
          <w:p w14:paraId="45D7FA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09B392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8FE36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B6AAA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612CD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A6BC0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2B563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3ADD590">
            <w:pPr>
              <w:widowControl w:val="0"/>
              <w:snapToGrid w:val="0"/>
              <w:spacing w:line="240" w:lineRule="auto"/>
              <w:ind w:firstLine="0" w:firstLineChars="0"/>
              <w:rPr>
                <w:rFonts w:eastAsia="仿宋" w:cs="Times New Roman"/>
                <w:sz w:val="24"/>
                <w:szCs w:val="28"/>
              </w:rPr>
            </w:pPr>
          </w:p>
        </w:tc>
      </w:tr>
      <w:tr w14:paraId="2F731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42D79431">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35CF44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36</w:t>
            </w:r>
          </w:p>
        </w:tc>
        <w:tc>
          <w:tcPr>
            <w:tcW w:w="2292" w:type="dxa"/>
            <w:vAlign w:val="center"/>
          </w:tcPr>
          <w:p w14:paraId="0014A8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被指派行权提醒</w:t>
            </w:r>
          </w:p>
        </w:tc>
        <w:tc>
          <w:tcPr>
            <w:tcW w:w="1234" w:type="dxa"/>
            <w:vAlign w:val="center"/>
          </w:tcPr>
          <w:p w14:paraId="33940C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1B484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53EBE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32241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44A0A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784CC2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C9895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4A6D62C">
            <w:pPr>
              <w:widowControl w:val="0"/>
              <w:snapToGrid w:val="0"/>
              <w:spacing w:line="240" w:lineRule="auto"/>
              <w:ind w:firstLine="0" w:firstLineChars="0"/>
              <w:rPr>
                <w:rFonts w:eastAsia="仿宋" w:cs="Times New Roman"/>
                <w:sz w:val="24"/>
                <w:szCs w:val="28"/>
              </w:rPr>
            </w:pPr>
          </w:p>
        </w:tc>
      </w:tr>
      <w:tr w14:paraId="41A70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C63F858">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23B495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37</w:t>
            </w:r>
          </w:p>
        </w:tc>
        <w:tc>
          <w:tcPr>
            <w:tcW w:w="2292" w:type="dxa"/>
            <w:vAlign w:val="center"/>
          </w:tcPr>
          <w:p w14:paraId="477A8FA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开仓委托时提醒：</w:t>
            </w:r>
            <w:r>
              <w:rPr>
                <w:rFonts w:eastAsia="仿宋" w:cs="Times New Roman"/>
                <w:sz w:val="24"/>
                <w:szCs w:val="28"/>
              </w:rPr>
              <w:t>包括</w:t>
            </w:r>
            <w:r>
              <w:rPr>
                <w:rFonts w:hint="eastAsia" w:eastAsia="仿宋" w:cs="Times New Roman"/>
                <w:sz w:val="24"/>
                <w:szCs w:val="28"/>
              </w:rPr>
              <w:t>严重虚值期权、临近到期期权、非标准</w:t>
            </w:r>
            <w:r>
              <w:rPr>
                <w:rFonts w:eastAsia="仿宋" w:cs="Times New Roman"/>
                <w:sz w:val="24"/>
                <w:szCs w:val="28"/>
              </w:rPr>
              <w:t>合约</w:t>
            </w:r>
            <w:r>
              <w:rPr>
                <w:rFonts w:hint="eastAsia" w:eastAsia="仿宋" w:cs="Times New Roman"/>
                <w:sz w:val="24"/>
                <w:szCs w:val="28"/>
              </w:rPr>
              <w:t>期权</w:t>
            </w:r>
          </w:p>
        </w:tc>
        <w:tc>
          <w:tcPr>
            <w:tcW w:w="1234" w:type="dxa"/>
            <w:vAlign w:val="center"/>
          </w:tcPr>
          <w:p w14:paraId="43E631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10771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59DB4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E2B1B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6CF19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2223B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66251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4E85F90">
            <w:pPr>
              <w:widowControl w:val="0"/>
              <w:snapToGrid w:val="0"/>
              <w:spacing w:line="240" w:lineRule="auto"/>
              <w:ind w:firstLine="0" w:firstLineChars="0"/>
              <w:rPr>
                <w:rFonts w:eastAsia="仿宋" w:cs="Times New Roman"/>
                <w:sz w:val="24"/>
                <w:szCs w:val="28"/>
              </w:rPr>
            </w:pPr>
          </w:p>
        </w:tc>
      </w:tr>
      <w:tr w14:paraId="28911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F8933CB">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D94C7D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38</w:t>
            </w:r>
          </w:p>
        </w:tc>
        <w:tc>
          <w:tcPr>
            <w:tcW w:w="2292" w:type="dxa"/>
            <w:vAlign w:val="center"/>
          </w:tcPr>
          <w:p w14:paraId="1FC450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卖出平仓</w:t>
            </w:r>
            <w:r>
              <w:rPr>
                <w:rFonts w:eastAsia="仿宋" w:cs="Times New Roman"/>
                <w:sz w:val="24"/>
                <w:szCs w:val="28"/>
              </w:rPr>
              <w:t>提醒</w:t>
            </w:r>
            <w:r>
              <w:rPr>
                <w:rFonts w:hint="eastAsia" w:eastAsia="仿宋" w:cs="Times New Roman"/>
                <w:sz w:val="24"/>
                <w:szCs w:val="28"/>
              </w:rPr>
              <w:t>：出现卖出平仓所得无法覆盖交易成本的情况应进行提醒</w:t>
            </w:r>
          </w:p>
        </w:tc>
        <w:tc>
          <w:tcPr>
            <w:tcW w:w="1234" w:type="dxa"/>
            <w:vAlign w:val="center"/>
          </w:tcPr>
          <w:p w14:paraId="4949DD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31C4AD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614AAE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9250C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D67992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A6BB1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08771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71CD7D6">
            <w:pPr>
              <w:widowControl w:val="0"/>
              <w:snapToGrid w:val="0"/>
              <w:spacing w:line="240" w:lineRule="auto"/>
              <w:ind w:firstLine="0" w:firstLineChars="0"/>
              <w:rPr>
                <w:rFonts w:eastAsia="仿宋" w:cs="Times New Roman"/>
                <w:sz w:val="24"/>
                <w:szCs w:val="28"/>
              </w:rPr>
            </w:pPr>
          </w:p>
        </w:tc>
      </w:tr>
      <w:tr w14:paraId="499DC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173B452">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2ED9860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39</w:t>
            </w:r>
          </w:p>
        </w:tc>
        <w:tc>
          <w:tcPr>
            <w:tcW w:w="2292" w:type="dxa"/>
            <w:vAlign w:val="center"/>
          </w:tcPr>
          <w:p w14:paraId="69F89FE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支持客户资产对账单通知功能</w:t>
            </w:r>
          </w:p>
        </w:tc>
        <w:tc>
          <w:tcPr>
            <w:tcW w:w="1234" w:type="dxa"/>
            <w:vAlign w:val="center"/>
          </w:tcPr>
          <w:p w14:paraId="021A37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2D315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36EC25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C635B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AA7CC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24AC9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A273D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E62A698">
            <w:pPr>
              <w:widowControl w:val="0"/>
              <w:snapToGrid w:val="0"/>
              <w:spacing w:line="240" w:lineRule="auto"/>
              <w:ind w:firstLine="0" w:firstLineChars="0"/>
              <w:rPr>
                <w:rFonts w:eastAsia="仿宋" w:cs="Times New Roman"/>
                <w:sz w:val="24"/>
                <w:szCs w:val="28"/>
              </w:rPr>
            </w:pPr>
          </w:p>
        </w:tc>
      </w:tr>
      <w:tr w14:paraId="72EDA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restart"/>
            <w:vAlign w:val="center"/>
          </w:tcPr>
          <w:p w14:paraId="449BF0B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柜台系统</w:t>
            </w:r>
          </w:p>
        </w:tc>
        <w:tc>
          <w:tcPr>
            <w:tcW w:w="578" w:type="dxa"/>
            <w:vAlign w:val="center"/>
          </w:tcPr>
          <w:p w14:paraId="2D6DD4B3">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40</w:t>
            </w:r>
          </w:p>
        </w:tc>
        <w:tc>
          <w:tcPr>
            <w:tcW w:w="2292" w:type="dxa"/>
            <w:vAlign w:val="center"/>
          </w:tcPr>
          <w:p w14:paraId="6985B0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支持买卖指令，包括买入开仓</w:t>
            </w:r>
            <w:r>
              <w:rPr>
                <w:rFonts w:eastAsia="仿宋" w:cs="Times New Roman"/>
                <w:sz w:val="24"/>
                <w:szCs w:val="28"/>
              </w:rPr>
              <w:t>/买入平仓/卖出平仓/卖出开仓/备兑开仓/备兑平仓/撤单</w:t>
            </w:r>
          </w:p>
        </w:tc>
        <w:tc>
          <w:tcPr>
            <w:tcW w:w="1234" w:type="dxa"/>
            <w:vAlign w:val="center"/>
          </w:tcPr>
          <w:p w14:paraId="48CDC7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95BD5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1269" w:type="dxa"/>
            <w:vAlign w:val="center"/>
          </w:tcPr>
          <w:p w14:paraId="73273E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39DF9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1E8229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2720CE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C648D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8A73D75">
            <w:pPr>
              <w:widowControl w:val="0"/>
              <w:snapToGrid w:val="0"/>
              <w:spacing w:line="240" w:lineRule="auto"/>
              <w:ind w:firstLine="0" w:firstLineChars="0"/>
              <w:rPr>
                <w:rFonts w:eastAsia="仿宋" w:cs="Times New Roman"/>
                <w:sz w:val="24"/>
                <w:szCs w:val="28"/>
              </w:rPr>
            </w:pPr>
          </w:p>
        </w:tc>
      </w:tr>
      <w:tr w14:paraId="2360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1D314EE">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39D6BC03">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41</w:t>
            </w:r>
          </w:p>
        </w:tc>
        <w:tc>
          <w:tcPr>
            <w:tcW w:w="2292" w:type="dxa"/>
            <w:vAlign w:val="center"/>
          </w:tcPr>
          <w:p w14:paraId="7DF798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支持交易订单，包括限价</w:t>
            </w:r>
            <w:r>
              <w:rPr>
                <w:rFonts w:eastAsia="仿宋" w:cs="Times New Roman"/>
                <w:sz w:val="24"/>
                <w:szCs w:val="28"/>
              </w:rPr>
              <w:t>/市价剩余转限价/市价剩余撤销/</w:t>
            </w:r>
            <w:r>
              <w:rPr>
                <w:rFonts w:hint="eastAsia" w:eastAsia="仿宋" w:cs="Times New Roman"/>
                <w:sz w:val="24"/>
                <w:szCs w:val="28"/>
              </w:rPr>
              <w:t>全额即时限价申报/全额即时市价申报</w:t>
            </w:r>
          </w:p>
        </w:tc>
        <w:tc>
          <w:tcPr>
            <w:tcW w:w="1234" w:type="dxa"/>
            <w:vAlign w:val="center"/>
          </w:tcPr>
          <w:p w14:paraId="1EAFD4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A6EEB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1269" w:type="dxa"/>
            <w:vAlign w:val="center"/>
          </w:tcPr>
          <w:p w14:paraId="6C5DB7E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2657D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A8D5E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C774E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80E2A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28CECA9">
            <w:pPr>
              <w:widowControl w:val="0"/>
              <w:snapToGrid w:val="0"/>
              <w:spacing w:line="240" w:lineRule="auto"/>
              <w:ind w:firstLine="0" w:firstLineChars="0"/>
              <w:rPr>
                <w:rFonts w:eastAsia="仿宋" w:cs="Times New Roman"/>
                <w:sz w:val="24"/>
                <w:szCs w:val="28"/>
              </w:rPr>
            </w:pPr>
          </w:p>
        </w:tc>
      </w:tr>
      <w:tr w14:paraId="39CE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63ABE3A">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6A092F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42</w:t>
            </w:r>
          </w:p>
        </w:tc>
        <w:tc>
          <w:tcPr>
            <w:tcW w:w="2292" w:type="dxa"/>
            <w:vAlign w:val="center"/>
          </w:tcPr>
          <w:p w14:paraId="5931A8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支持非交易指令，包括证券锁定与解锁指令</w:t>
            </w:r>
            <w:r>
              <w:rPr>
                <w:rFonts w:eastAsia="仿宋" w:cs="Times New Roman"/>
                <w:sz w:val="24"/>
                <w:szCs w:val="28"/>
              </w:rPr>
              <w:t>/行权指令</w:t>
            </w:r>
            <w:r>
              <w:rPr>
                <w:rFonts w:hint="eastAsia" w:eastAsia="仿宋" w:cs="Times New Roman"/>
                <w:sz w:val="24"/>
                <w:szCs w:val="28"/>
              </w:rPr>
              <w:t>（包括行权指令</w:t>
            </w:r>
            <w:r>
              <w:rPr>
                <w:rFonts w:eastAsia="仿宋" w:cs="Times New Roman"/>
                <w:sz w:val="24"/>
                <w:szCs w:val="28"/>
              </w:rPr>
              <w:t>合并申报，如有</w:t>
            </w:r>
            <w:r>
              <w:rPr>
                <w:rFonts w:hint="eastAsia" w:eastAsia="仿宋" w:cs="Times New Roman"/>
                <w:sz w:val="24"/>
                <w:szCs w:val="28"/>
              </w:rPr>
              <w:t>）</w:t>
            </w:r>
            <w:r>
              <w:rPr>
                <w:rFonts w:eastAsia="仿宋" w:cs="Times New Roman"/>
                <w:sz w:val="24"/>
                <w:szCs w:val="28"/>
              </w:rPr>
              <w:t>/撤销行权指令/处置账户划转指令</w:t>
            </w:r>
          </w:p>
        </w:tc>
        <w:tc>
          <w:tcPr>
            <w:tcW w:w="1234" w:type="dxa"/>
            <w:vAlign w:val="center"/>
          </w:tcPr>
          <w:p w14:paraId="612683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D9D8D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04F12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49447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377BC32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1FB34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D17BB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5280FF48">
            <w:pPr>
              <w:widowControl w:val="0"/>
              <w:snapToGrid w:val="0"/>
              <w:spacing w:line="240" w:lineRule="auto"/>
              <w:ind w:firstLine="0" w:firstLineChars="0"/>
              <w:rPr>
                <w:rFonts w:eastAsia="仿宋" w:cs="Times New Roman"/>
                <w:sz w:val="24"/>
                <w:szCs w:val="28"/>
              </w:rPr>
            </w:pPr>
          </w:p>
        </w:tc>
      </w:tr>
      <w:tr w14:paraId="0E492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9C2D398">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23C3DC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43</w:t>
            </w:r>
          </w:p>
        </w:tc>
        <w:tc>
          <w:tcPr>
            <w:tcW w:w="2292" w:type="dxa"/>
            <w:vAlign w:val="center"/>
          </w:tcPr>
          <w:p w14:paraId="5C1B6A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支持根据交易指令进行资金是否</w:t>
            </w:r>
            <w:r>
              <w:rPr>
                <w:rFonts w:eastAsia="仿宋" w:cs="Times New Roman"/>
                <w:sz w:val="24"/>
                <w:szCs w:val="28"/>
              </w:rPr>
              <w:t>足额检查</w:t>
            </w:r>
            <w:r>
              <w:rPr>
                <w:rFonts w:hint="eastAsia" w:eastAsia="仿宋" w:cs="Times New Roman"/>
                <w:sz w:val="24"/>
                <w:szCs w:val="28"/>
              </w:rPr>
              <w:t>、持仓检查，限价申报按涨跌停价进行前端控制</w:t>
            </w:r>
          </w:p>
        </w:tc>
        <w:tc>
          <w:tcPr>
            <w:tcW w:w="1234" w:type="dxa"/>
            <w:vAlign w:val="center"/>
          </w:tcPr>
          <w:p w14:paraId="22DE88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E2C87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D4862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CFEDD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8769A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91D73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9E5DF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2C3D82D">
            <w:pPr>
              <w:widowControl w:val="0"/>
              <w:snapToGrid w:val="0"/>
              <w:spacing w:line="240" w:lineRule="auto"/>
              <w:ind w:firstLine="0" w:firstLineChars="0"/>
              <w:rPr>
                <w:rFonts w:eastAsia="仿宋" w:cs="Times New Roman"/>
                <w:sz w:val="24"/>
                <w:szCs w:val="28"/>
              </w:rPr>
            </w:pPr>
          </w:p>
        </w:tc>
      </w:tr>
      <w:tr w14:paraId="280A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6ED115B">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FBFA80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44</w:t>
            </w:r>
          </w:p>
        </w:tc>
        <w:tc>
          <w:tcPr>
            <w:tcW w:w="2292" w:type="dxa"/>
            <w:vAlign w:val="center"/>
          </w:tcPr>
          <w:p w14:paraId="269DD1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支持根据交易指令、非交易指令与成交回报进行保证金余额和持仓处理</w:t>
            </w:r>
          </w:p>
        </w:tc>
        <w:tc>
          <w:tcPr>
            <w:tcW w:w="1234" w:type="dxa"/>
            <w:vAlign w:val="center"/>
          </w:tcPr>
          <w:p w14:paraId="0F7969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3FC847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17AEF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434EE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DAD93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6F582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39EC9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DA4D84B">
            <w:pPr>
              <w:widowControl w:val="0"/>
              <w:snapToGrid w:val="0"/>
              <w:spacing w:line="240" w:lineRule="auto"/>
              <w:ind w:firstLine="0" w:firstLineChars="0"/>
              <w:rPr>
                <w:rFonts w:eastAsia="仿宋" w:cs="Times New Roman"/>
                <w:sz w:val="24"/>
                <w:szCs w:val="28"/>
              </w:rPr>
            </w:pPr>
          </w:p>
        </w:tc>
      </w:tr>
      <w:tr w14:paraId="457B4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3744677">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EC010A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45</w:t>
            </w:r>
          </w:p>
        </w:tc>
        <w:tc>
          <w:tcPr>
            <w:tcW w:w="2292" w:type="dxa"/>
            <w:vAlign w:val="center"/>
          </w:tcPr>
          <w:p w14:paraId="794AE2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根据客户的行权指令合并申报（如有）和非行权指令合并申报进行前端控制</w:t>
            </w:r>
          </w:p>
        </w:tc>
        <w:tc>
          <w:tcPr>
            <w:tcW w:w="1234" w:type="dxa"/>
            <w:vAlign w:val="center"/>
          </w:tcPr>
          <w:p w14:paraId="48E700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0FDDB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5D581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AC31E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A6635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E21D4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2CF7D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D035FB4">
            <w:pPr>
              <w:widowControl w:val="0"/>
              <w:snapToGrid w:val="0"/>
              <w:spacing w:line="240" w:lineRule="auto"/>
              <w:ind w:firstLine="0" w:firstLineChars="0"/>
              <w:rPr>
                <w:rFonts w:eastAsia="仿宋" w:cs="Times New Roman"/>
                <w:sz w:val="24"/>
                <w:szCs w:val="28"/>
              </w:rPr>
            </w:pPr>
          </w:p>
        </w:tc>
      </w:tr>
      <w:tr w14:paraId="7B1A4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4CAE816">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1736561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46</w:t>
            </w:r>
          </w:p>
        </w:tc>
        <w:tc>
          <w:tcPr>
            <w:tcW w:w="2292" w:type="dxa"/>
            <w:vAlign w:val="center"/>
          </w:tcPr>
          <w:p w14:paraId="1A911F0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支持分标的</w:t>
            </w:r>
            <w:r>
              <w:rPr>
                <w:rFonts w:eastAsia="仿宋" w:cs="Times New Roman"/>
                <w:sz w:val="24"/>
                <w:szCs w:val="28"/>
              </w:rPr>
              <w:t>进行</w:t>
            </w:r>
            <w:r>
              <w:rPr>
                <w:rFonts w:hint="eastAsia" w:eastAsia="仿宋" w:cs="Times New Roman"/>
                <w:sz w:val="24"/>
                <w:szCs w:val="28"/>
              </w:rPr>
              <w:t>额度管理，支持限仓、限额申请、审批、变更及</w:t>
            </w:r>
            <w:r>
              <w:rPr>
                <w:rFonts w:eastAsia="仿宋" w:cs="Times New Roman"/>
                <w:sz w:val="24"/>
                <w:szCs w:val="28"/>
              </w:rPr>
              <w:t>动态调整</w:t>
            </w:r>
          </w:p>
        </w:tc>
        <w:tc>
          <w:tcPr>
            <w:tcW w:w="1234" w:type="dxa"/>
            <w:vAlign w:val="center"/>
          </w:tcPr>
          <w:p w14:paraId="4C60EA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3D1B78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61E9FC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8D35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0C57E1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262CA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2F6017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2A33AF9">
            <w:pPr>
              <w:widowControl w:val="0"/>
              <w:snapToGrid w:val="0"/>
              <w:spacing w:line="240" w:lineRule="auto"/>
              <w:ind w:firstLine="0" w:firstLineChars="0"/>
              <w:rPr>
                <w:rFonts w:eastAsia="仿宋" w:cs="Times New Roman"/>
                <w:sz w:val="24"/>
                <w:szCs w:val="28"/>
              </w:rPr>
            </w:pPr>
          </w:p>
        </w:tc>
      </w:tr>
      <w:tr w14:paraId="3C22A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B5F4090">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03CA6F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47</w:t>
            </w:r>
          </w:p>
        </w:tc>
        <w:tc>
          <w:tcPr>
            <w:tcW w:w="2292" w:type="dxa"/>
            <w:vAlign w:val="center"/>
          </w:tcPr>
          <w:p w14:paraId="41DDEC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支持持仓限额监控与通知功能（包括按品种监控单个账户权利仓、总持仓、单日买入开仓和公司总持仓，并对超出持仓限制的单个客户及时发送平仓通知）</w:t>
            </w:r>
          </w:p>
        </w:tc>
        <w:tc>
          <w:tcPr>
            <w:tcW w:w="1234" w:type="dxa"/>
            <w:vAlign w:val="center"/>
          </w:tcPr>
          <w:p w14:paraId="79BD5E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0F206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FFF6A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496BC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35BD8B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38E10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C2A56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F47AF73">
            <w:pPr>
              <w:widowControl w:val="0"/>
              <w:snapToGrid w:val="0"/>
              <w:spacing w:line="240" w:lineRule="auto"/>
              <w:ind w:firstLine="0" w:firstLineChars="0"/>
              <w:rPr>
                <w:rFonts w:eastAsia="仿宋" w:cs="Times New Roman"/>
                <w:sz w:val="24"/>
                <w:szCs w:val="28"/>
              </w:rPr>
            </w:pPr>
          </w:p>
        </w:tc>
      </w:tr>
      <w:tr w14:paraId="34B01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1766B5B0">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A54D94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48</w:t>
            </w:r>
          </w:p>
        </w:tc>
        <w:tc>
          <w:tcPr>
            <w:tcW w:w="2292" w:type="dxa"/>
            <w:vAlign w:val="center"/>
          </w:tcPr>
          <w:p w14:paraId="04208F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支持限仓</w:t>
            </w:r>
            <w:r>
              <w:rPr>
                <w:rFonts w:eastAsia="仿宋" w:cs="Times New Roman"/>
                <w:sz w:val="24"/>
                <w:szCs w:val="28"/>
              </w:rPr>
              <w:t>、</w:t>
            </w:r>
            <w:r>
              <w:rPr>
                <w:rFonts w:hint="eastAsia" w:eastAsia="仿宋" w:cs="Times New Roman"/>
                <w:sz w:val="24"/>
                <w:szCs w:val="28"/>
              </w:rPr>
              <w:t>限购：根据核定的</w:t>
            </w:r>
            <w:r>
              <w:rPr>
                <w:rFonts w:eastAsia="仿宋" w:cs="Times New Roman"/>
                <w:sz w:val="24"/>
                <w:szCs w:val="28"/>
              </w:rPr>
              <w:t>限仓</w:t>
            </w:r>
            <w:r>
              <w:rPr>
                <w:rFonts w:hint="eastAsia" w:eastAsia="仿宋" w:cs="Times New Roman"/>
                <w:sz w:val="24"/>
                <w:szCs w:val="28"/>
              </w:rPr>
              <w:t>、</w:t>
            </w:r>
            <w:r>
              <w:rPr>
                <w:rFonts w:eastAsia="仿宋" w:cs="Times New Roman"/>
                <w:sz w:val="24"/>
                <w:szCs w:val="28"/>
              </w:rPr>
              <w:t>限购额度</w:t>
            </w:r>
            <w:r>
              <w:rPr>
                <w:rFonts w:hint="eastAsia" w:eastAsia="仿宋" w:cs="Times New Roman"/>
                <w:sz w:val="24"/>
                <w:szCs w:val="28"/>
              </w:rPr>
              <w:t>进行前端控制</w:t>
            </w:r>
          </w:p>
        </w:tc>
        <w:tc>
          <w:tcPr>
            <w:tcW w:w="1234" w:type="dxa"/>
            <w:vAlign w:val="center"/>
          </w:tcPr>
          <w:p w14:paraId="703878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1868E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62230E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5E84F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C4F1A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1B988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5B1DB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3357402">
            <w:pPr>
              <w:widowControl w:val="0"/>
              <w:snapToGrid w:val="0"/>
              <w:spacing w:line="240" w:lineRule="auto"/>
              <w:ind w:firstLine="0" w:firstLineChars="0"/>
              <w:rPr>
                <w:rFonts w:eastAsia="仿宋" w:cs="Times New Roman"/>
                <w:sz w:val="24"/>
                <w:szCs w:val="28"/>
              </w:rPr>
            </w:pPr>
          </w:p>
        </w:tc>
      </w:tr>
      <w:tr w14:paraId="65606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32D7ECA">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6365F4B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49</w:t>
            </w:r>
          </w:p>
        </w:tc>
        <w:tc>
          <w:tcPr>
            <w:tcW w:w="2292" w:type="dxa"/>
            <w:vAlign w:val="center"/>
          </w:tcPr>
          <w:p w14:paraId="596A92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支持按品种限制账户权限：根据交易所或会员内部要求分品种限制该账户的交易、开仓、卖出开仓、备兑锁定</w:t>
            </w:r>
            <w:r>
              <w:rPr>
                <w:rFonts w:eastAsia="仿宋" w:cs="Times New Roman"/>
                <w:sz w:val="24"/>
                <w:szCs w:val="28"/>
              </w:rPr>
              <w:t>/解锁指令的申报</w:t>
            </w:r>
          </w:p>
        </w:tc>
        <w:tc>
          <w:tcPr>
            <w:tcW w:w="1234" w:type="dxa"/>
            <w:vAlign w:val="center"/>
          </w:tcPr>
          <w:p w14:paraId="68873A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26EF17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3D6C86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77520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33691A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23565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576D56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AE66FEB">
            <w:pPr>
              <w:widowControl w:val="0"/>
              <w:snapToGrid w:val="0"/>
              <w:spacing w:line="240" w:lineRule="auto"/>
              <w:ind w:firstLine="0" w:firstLineChars="0"/>
              <w:rPr>
                <w:rFonts w:eastAsia="仿宋" w:cs="Times New Roman"/>
                <w:sz w:val="24"/>
                <w:szCs w:val="28"/>
              </w:rPr>
            </w:pPr>
          </w:p>
        </w:tc>
      </w:tr>
      <w:tr w14:paraId="1A3DC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DAF2044">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27595C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50</w:t>
            </w:r>
          </w:p>
        </w:tc>
        <w:tc>
          <w:tcPr>
            <w:tcW w:w="2292" w:type="dxa"/>
            <w:vAlign w:val="center"/>
          </w:tcPr>
          <w:p w14:paraId="74002B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支持客户资产对账单通知功能</w:t>
            </w:r>
          </w:p>
        </w:tc>
        <w:tc>
          <w:tcPr>
            <w:tcW w:w="1234" w:type="dxa"/>
            <w:vAlign w:val="center"/>
          </w:tcPr>
          <w:p w14:paraId="45A47F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2B477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704EC62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913EC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C7533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747F1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E0D90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97D62A2">
            <w:pPr>
              <w:widowControl w:val="0"/>
              <w:snapToGrid w:val="0"/>
              <w:spacing w:line="240" w:lineRule="auto"/>
              <w:ind w:firstLine="0" w:firstLineChars="0"/>
              <w:rPr>
                <w:rFonts w:eastAsia="仿宋" w:cs="Times New Roman"/>
                <w:sz w:val="24"/>
                <w:szCs w:val="28"/>
              </w:rPr>
            </w:pPr>
          </w:p>
        </w:tc>
      </w:tr>
      <w:tr w14:paraId="297DB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restart"/>
            <w:vAlign w:val="center"/>
          </w:tcPr>
          <w:p w14:paraId="4E8E9A3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保证金管理</w:t>
            </w:r>
          </w:p>
        </w:tc>
        <w:tc>
          <w:tcPr>
            <w:tcW w:w="578" w:type="dxa"/>
            <w:vAlign w:val="center"/>
          </w:tcPr>
          <w:p w14:paraId="4FBE4582">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51</w:t>
            </w:r>
          </w:p>
        </w:tc>
        <w:tc>
          <w:tcPr>
            <w:tcW w:w="2292" w:type="dxa"/>
            <w:vAlign w:val="center"/>
          </w:tcPr>
          <w:p w14:paraId="517D61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支持与银行逐日账务核对</w:t>
            </w:r>
          </w:p>
        </w:tc>
        <w:tc>
          <w:tcPr>
            <w:tcW w:w="1234" w:type="dxa"/>
            <w:vAlign w:val="center"/>
          </w:tcPr>
          <w:p w14:paraId="521D93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53A5A9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562A6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49585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73109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F3607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6BB4B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A4022A4">
            <w:pPr>
              <w:widowControl w:val="0"/>
              <w:snapToGrid w:val="0"/>
              <w:spacing w:line="240" w:lineRule="auto"/>
              <w:ind w:firstLine="0" w:firstLineChars="0"/>
              <w:rPr>
                <w:rFonts w:eastAsia="仿宋" w:cs="Times New Roman"/>
                <w:sz w:val="24"/>
                <w:szCs w:val="28"/>
              </w:rPr>
            </w:pPr>
          </w:p>
        </w:tc>
      </w:tr>
      <w:tr w14:paraId="6A6F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579D7975">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4F496BB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52</w:t>
            </w:r>
          </w:p>
        </w:tc>
        <w:tc>
          <w:tcPr>
            <w:tcW w:w="2292" w:type="dxa"/>
            <w:vAlign w:val="center"/>
          </w:tcPr>
          <w:p w14:paraId="4EB679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支持市场参与文件报送</w:t>
            </w:r>
          </w:p>
        </w:tc>
        <w:tc>
          <w:tcPr>
            <w:tcW w:w="1234" w:type="dxa"/>
            <w:vAlign w:val="center"/>
          </w:tcPr>
          <w:p w14:paraId="495E9B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D75E7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3F3DD9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2DD88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47B839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1903A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5291B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51B7BF5">
            <w:pPr>
              <w:widowControl w:val="0"/>
              <w:snapToGrid w:val="0"/>
              <w:spacing w:line="240" w:lineRule="auto"/>
              <w:ind w:firstLine="0" w:firstLineChars="0"/>
              <w:rPr>
                <w:rFonts w:eastAsia="仿宋" w:cs="Times New Roman"/>
                <w:sz w:val="24"/>
                <w:szCs w:val="28"/>
              </w:rPr>
            </w:pPr>
          </w:p>
        </w:tc>
      </w:tr>
      <w:tr w14:paraId="2B5CF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496E1D8D">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207093A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53</w:t>
            </w:r>
          </w:p>
        </w:tc>
        <w:tc>
          <w:tcPr>
            <w:tcW w:w="2292" w:type="dxa"/>
            <w:vAlign w:val="center"/>
          </w:tcPr>
          <w:p w14:paraId="19DD10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支持维持保证金监控与通知：对卖方维持保证金占保证金总额比例进行监控，低于一定水平及时通知客户追加</w:t>
            </w:r>
          </w:p>
        </w:tc>
        <w:tc>
          <w:tcPr>
            <w:tcW w:w="1234" w:type="dxa"/>
            <w:vAlign w:val="center"/>
          </w:tcPr>
          <w:p w14:paraId="50D216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26BD7A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1269" w:type="dxa"/>
            <w:vAlign w:val="center"/>
          </w:tcPr>
          <w:p w14:paraId="4E018C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7854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1F490D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0A872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94608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EBE7360">
            <w:pPr>
              <w:widowControl w:val="0"/>
              <w:snapToGrid w:val="0"/>
              <w:spacing w:line="240" w:lineRule="auto"/>
              <w:ind w:firstLine="0" w:firstLineChars="0"/>
              <w:rPr>
                <w:rFonts w:eastAsia="仿宋" w:cs="Times New Roman"/>
                <w:sz w:val="24"/>
                <w:szCs w:val="28"/>
              </w:rPr>
            </w:pPr>
          </w:p>
        </w:tc>
      </w:tr>
      <w:tr w14:paraId="17B0A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8702BA8">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247999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54</w:t>
            </w:r>
          </w:p>
        </w:tc>
        <w:tc>
          <w:tcPr>
            <w:tcW w:w="2292" w:type="dxa"/>
            <w:vAlign w:val="center"/>
          </w:tcPr>
          <w:p w14:paraId="3FDBC2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支持实时保证金监控：合约标的或期权合约交易价格变动导致的保证金变化的监控，分别按照公司保证金水平和所司保证金水平建立实时价格保证金占其保证金总额的监控指标</w:t>
            </w:r>
          </w:p>
        </w:tc>
        <w:tc>
          <w:tcPr>
            <w:tcW w:w="1234" w:type="dxa"/>
            <w:vAlign w:val="center"/>
          </w:tcPr>
          <w:p w14:paraId="6CD096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9190F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71724E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92DCB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CF5D4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DE0B8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10A09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926FC79">
            <w:pPr>
              <w:widowControl w:val="0"/>
              <w:snapToGrid w:val="0"/>
              <w:spacing w:line="240" w:lineRule="auto"/>
              <w:ind w:firstLine="0" w:firstLineChars="0"/>
              <w:rPr>
                <w:rFonts w:eastAsia="仿宋" w:cs="Times New Roman"/>
                <w:sz w:val="24"/>
                <w:szCs w:val="28"/>
              </w:rPr>
            </w:pPr>
          </w:p>
        </w:tc>
      </w:tr>
      <w:tr w14:paraId="73CB8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F66D474">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6F154B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55</w:t>
            </w:r>
          </w:p>
        </w:tc>
        <w:tc>
          <w:tcPr>
            <w:tcW w:w="2292" w:type="dxa"/>
            <w:vAlign w:val="center"/>
          </w:tcPr>
          <w:p w14:paraId="034C8E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支持盘中平仓和追保实时监控</w:t>
            </w:r>
          </w:p>
        </w:tc>
        <w:tc>
          <w:tcPr>
            <w:tcW w:w="1234" w:type="dxa"/>
            <w:vAlign w:val="center"/>
          </w:tcPr>
          <w:p w14:paraId="2AF1AB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4535B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5CF0A7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76361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AAA1E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B732B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C69B5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E671634">
            <w:pPr>
              <w:widowControl w:val="0"/>
              <w:snapToGrid w:val="0"/>
              <w:spacing w:line="240" w:lineRule="auto"/>
              <w:ind w:firstLine="0" w:firstLineChars="0"/>
              <w:rPr>
                <w:rFonts w:eastAsia="仿宋" w:cs="Times New Roman"/>
                <w:sz w:val="24"/>
                <w:szCs w:val="28"/>
              </w:rPr>
            </w:pPr>
          </w:p>
        </w:tc>
      </w:tr>
      <w:tr w14:paraId="12C36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2299FE7">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1E84BD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56</w:t>
            </w:r>
          </w:p>
        </w:tc>
        <w:tc>
          <w:tcPr>
            <w:tcW w:w="2292" w:type="dxa"/>
            <w:vAlign w:val="center"/>
          </w:tcPr>
          <w:p w14:paraId="77B258A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客户可用保证金余额监控：客户买卖期权合约与资金时，保证金出现不足时进行预警提示</w:t>
            </w:r>
          </w:p>
        </w:tc>
        <w:tc>
          <w:tcPr>
            <w:tcW w:w="1234" w:type="dxa"/>
            <w:vAlign w:val="center"/>
          </w:tcPr>
          <w:p w14:paraId="100038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3811F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3B9FD8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E4F73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491747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D0F10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60835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400EE50">
            <w:pPr>
              <w:widowControl w:val="0"/>
              <w:snapToGrid w:val="0"/>
              <w:spacing w:line="240" w:lineRule="auto"/>
              <w:ind w:firstLine="0" w:firstLineChars="0"/>
              <w:rPr>
                <w:rFonts w:eastAsia="仿宋" w:cs="Times New Roman"/>
                <w:sz w:val="24"/>
                <w:szCs w:val="28"/>
              </w:rPr>
            </w:pPr>
          </w:p>
        </w:tc>
      </w:tr>
      <w:tr w14:paraId="7C1B1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E74B185">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DCB322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57</w:t>
            </w:r>
          </w:p>
        </w:tc>
        <w:tc>
          <w:tcPr>
            <w:tcW w:w="2292" w:type="dxa"/>
            <w:vAlign w:val="center"/>
          </w:tcPr>
          <w:p w14:paraId="474FDF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压力测试分析：标的波动较大时，可进行盘中试算</w:t>
            </w:r>
          </w:p>
        </w:tc>
        <w:tc>
          <w:tcPr>
            <w:tcW w:w="1234" w:type="dxa"/>
            <w:vAlign w:val="center"/>
          </w:tcPr>
          <w:p w14:paraId="5E3684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C8DF7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D61E0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EF0BE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04CB9A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1FC2B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21390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138F50CA">
            <w:pPr>
              <w:widowControl w:val="0"/>
              <w:snapToGrid w:val="0"/>
              <w:spacing w:line="240" w:lineRule="auto"/>
              <w:ind w:firstLine="0" w:firstLineChars="0"/>
              <w:rPr>
                <w:rFonts w:eastAsia="仿宋" w:cs="Times New Roman"/>
                <w:sz w:val="24"/>
                <w:szCs w:val="28"/>
              </w:rPr>
            </w:pPr>
          </w:p>
        </w:tc>
      </w:tr>
      <w:tr w14:paraId="00A0C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63DB9EE">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9129FA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58</w:t>
            </w:r>
          </w:p>
        </w:tc>
        <w:tc>
          <w:tcPr>
            <w:tcW w:w="2292" w:type="dxa"/>
            <w:vAlign w:val="center"/>
          </w:tcPr>
          <w:p w14:paraId="5A847CD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保证开市结算准备金大于最低余额监控</w:t>
            </w:r>
          </w:p>
        </w:tc>
        <w:tc>
          <w:tcPr>
            <w:tcW w:w="1234" w:type="dxa"/>
            <w:vAlign w:val="center"/>
          </w:tcPr>
          <w:p w14:paraId="27B76C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2D2DC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E6BD9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A7EAB4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87DFB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43720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1D726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5FAC694">
            <w:pPr>
              <w:widowControl w:val="0"/>
              <w:snapToGrid w:val="0"/>
              <w:spacing w:line="240" w:lineRule="auto"/>
              <w:ind w:firstLine="0" w:firstLineChars="0"/>
              <w:rPr>
                <w:rFonts w:eastAsia="仿宋" w:cs="Times New Roman"/>
                <w:sz w:val="24"/>
                <w:szCs w:val="28"/>
              </w:rPr>
            </w:pPr>
          </w:p>
        </w:tc>
      </w:tr>
      <w:tr w14:paraId="680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33863758">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3F05FB7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59</w:t>
            </w:r>
          </w:p>
        </w:tc>
        <w:tc>
          <w:tcPr>
            <w:tcW w:w="2292" w:type="dxa"/>
            <w:vAlign w:val="center"/>
          </w:tcPr>
          <w:p w14:paraId="638C06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结算准备金余额日间实时监控</w:t>
            </w:r>
          </w:p>
        </w:tc>
        <w:tc>
          <w:tcPr>
            <w:tcW w:w="1234" w:type="dxa"/>
            <w:vAlign w:val="center"/>
          </w:tcPr>
          <w:p w14:paraId="0DE3AE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2A0D0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1269" w:type="dxa"/>
            <w:vAlign w:val="center"/>
          </w:tcPr>
          <w:p w14:paraId="1E69A7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6510C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E6226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67430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2866E2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A3BED5B">
            <w:pPr>
              <w:widowControl w:val="0"/>
              <w:snapToGrid w:val="0"/>
              <w:spacing w:line="240" w:lineRule="auto"/>
              <w:ind w:firstLine="0" w:firstLineChars="0"/>
              <w:rPr>
                <w:rFonts w:eastAsia="仿宋" w:cs="Times New Roman"/>
                <w:sz w:val="24"/>
                <w:szCs w:val="28"/>
              </w:rPr>
            </w:pPr>
          </w:p>
        </w:tc>
      </w:tr>
      <w:tr w14:paraId="1EFF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73D3A9CD">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1A2622D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60</w:t>
            </w:r>
          </w:p>
        </w:tc>
        <w:tc>
          <w:tcPr>
            <w:tcW w:w="2292" w:type="dxa"/>
            <w:vAlign w:val="center"/>
          </w:tcPr>
          <w:p w14:paraId="44139E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备兑开仓客户保证金监控：对备兑开仓客户的备兑备用证券数量进行监控</w:t>
            </w:r>
          </w:p>
        </w:tc>
        <w:tc>
          <w:tcPr>
            <w:tcW w:w="1234" w:type="dxa"/>
            <w:vAlign w:val="center"/>
          </w:tcPr>
          <w:p w14:paraId="3FB81D2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54395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5CDD30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9682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52148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8F29B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E3C56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4BC6A6F4">
            <w:pPr>
              <w:widowControl w:val="0"/>
              <w:snapToGrid w:val="0"/>
              <w:spacing w:line="240" w:lineRule="auto"/>
              <w:ind w:firstLine="0" w:firstLineChars="0"/>
              <w:rPr>
                <w:rFonts w:eastAsia="仿宋" w:cs="Times New Roman"/>
                <w:sz w:val="24"/>
                <w:szCs w:val="28"/>
              </w:rPr>
            </w:pPr>
          </w:p>
        </w:tc>
      </w:tr>
      <w:tr w14:paraId="560A4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51584F3F">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43E4FDC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61</w:t>
            </w:r>
          </w:p>
        </w:tc>
        <w:tc>
          <w:tcPr>
            <w:tcW w:w="2292" w:type="dxa"/>
            <w:vAlign w:val="center"/>
          </w:tcPr>
          <w:p w14:paraId="42E97A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资金盯市：对客户衍生品结算资金汇总账户和客户股票期权保证金账户的资金划拨进行盯市管理</w:t>
            </w:r>
          </w:p>
        </w:tc>
        <w:tc>
          <w:tcPr>
            <w:tcW w:w="1234" w:type="dxa"/>
            <w:vAlign w:val="center"/>
          </w:tcPr>
          <w:p w14:paraId="11FE7F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B79D0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3B3E20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981B5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00DAF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81510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B2A2C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BEE74FA">
            <w:pPr>
              <w:widowControl w:val="0"/>
              <w:snapToGrid w:val="0"/>
              <w:spacing w:line="240" w:lineRule="auto"/>
              <w:ind w:firstLine="0" w:firstLineChars="0"/>
              <w:rPr>
                <w:rFonts w:eastAsia="仿宋" w:cs="Times New Roman"/>
                <w:sz w:val="24"/>
                <w:szCs w:val="28"/>
              </w:rPr>
            </w:pPr>
          </w:p>
        </w:tc>
      </w:tr>
      <w:tr w14:paraId="554BA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2BE3E8D">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377280D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62</w:t>
            </w:r>
          </w:p>
        </w:tc>
        <w:tc>
          <w:tcPr>
            <w:tcW w:w="2292" w:type="dxa"/>
            <w:vAlign w:val="center"/>
          </w:tcPr>
          <w:p w14:paraId="3EC574D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不同交易所之间资金划转管理：客户衍生品结算资金汇总账户和客户不同交易所股票期权保证金账户的资金调拨、划转管理</w:t>
            </w:r>
          </w:p>
        </w:tc>
        <w:tc>
          <w:tcPr>
            <w:tcW w:w="1234" w:type="dxa"/>
            <w:vAlign w:val="center"/>
          </w:tcPr>
          <w:p w14:paraId="382174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68950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CDA96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8D268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AF0625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2F9AC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F6CBE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9C85402">
            <w:pPr>
              <w:widowControl w:val="0"/>
              <w:snapToGrid w:val="0"/>
              <w:spacing w:line="240" w:lineRule="auto"/>
              <w:ind w:firstLine="0" w:firstLineChars="0"/>
              <w:rPr>
                <w:rFonts w:eastAsia="仿宋" w:cs="Times New Roman"/>
                <w:sz w:val="24"/>
                <w:szCs w:val="28"/>
              </w:rPr>
            </w:pPr>
          </w:p>
        </w:tc>
      </w:tr>
      <w:tr w14:paraId="3385A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restart"/>
            <w:vAlign w:val="center"/>
          </w:tcPr>
          <w:p w14:paraId="52A790A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风控业务</w:t>
            </w:r>
          </w:p>
        </w:tc>
        <w:tc>
          <w:tcPr>
            <w:tcW w:w="578" w:type="dxa"/>
            <w:vAlign w:val="center"/>
          </w:tcPr>
          <w:p w14:paraId="016613B2">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63</w:t>
            </w:r>
          </w:p>
        </w:tc>
        <w:tc>
          <w:tcPr>
            <w:tcW w:w="2292" w:type="dxa"/>
            <w:vAlign w:val="center"/>
          </w:tcPr>
          <w:p w14:paraId="440E34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期权到期义务方监控：对于快到期的期权合约，验证被行权方是否资金或标的券足额，并进行相关风险警示或要求提高维持保证金。</w:t>
            </w:r>
          </w:p>
        </w:tc>
        <w:tc>
          <w:tcPr>
            <w:tcW w:w="1234" w:type="dxa"/>
            <w:vAlign w:val="center"/>
          </w:tcPr>
          <w:p w14:paraId="700BC1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0E08B0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7E63C9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45EA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764E92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F4A5C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2CE756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57ACFE0">
            <w:pPr>
              <w:widowControl w:val="0"/>
              <w:snapToGrid w:val="0"/>
              <w:spacing w:line="240" w:lineRule="auto"/>
              <w:ind w:firstLine="0" w:firstLineChars="0"/>
              <w:rPr>
                <w:rFonts w:eastAsia="仿宋" w:cs="Times New Roman"/>
                <w:sz w:val="24"/>
                <w:szCs w:val="28"/>
              </w:rPr>
            </w:pPr>
          </w:p>
        </w:tc>
      </w:tr>
      <w:tr w14:paraId="3596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A6F1A7F">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3583E1A">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64</w:t>
            </w:r>
          </w:p>
        </w:tc>
        <w:tc>
          <w:tcPr>
            <w:tcW w:w="2292" w:type="dxa"/>
            <w:vAlign w:val="center"/>
          </w:tcPr>
          <w:p w14:paraId="6B5315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合约到期监控：对临近到期日的期权合约进行监控</w:t>
            </w:r>
          </w:p>
        </w:tc>
        <w:tc>
          <w:tcPr>
            <w:tcW w:w="1234" w:type="dxa"/>
            <w:vAlign w:val="center"/>
          </w:tcPr>
          <w:p w14:paraId="6D6346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1484B4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4207AC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B5E44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A77E8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52520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C6D81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601F8DFC">
            <w:pPr>
              <w:widowControl w:val="0"/>
              <w:snapToGrid w:val="0"/>
              <w:spacing w:line="240" w:lineRule="auto"/>
              <w:ind w:firstLine="0" w:firstLineChars="0"/>
              <w:rPr>
                <w:rFonts w:eastAsia="仿宋" w:cs="Times New Roman"/>
                <w:sz w:val="24"/>
                <w:szCs w:val="28"/>
              </w:rPr>
            </w:pPr>
          </w:p>
        </w:tc>
      </w:tr>
      <w:tr w14:paraId="26979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7AC1B68F">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748587CE">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65</w:t>
            </w:r>
          </w:p>
        </w:tc>
        <w:tc>
          <w:tcPr>
            <w:tcW w:w="2292" w:type="dxa"/>
            <w:vAlign w:val="center"/>
          </w:tcPr>
          <w:p w14:paraId="41B7CD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支持强平监控及通知：根据中国结算发送的平仓通知书对投资者次日的平仓情况进行监控，并及时通知客户</w:t>
            </w:r>
          </w:p>
        </w:tc>
        <w:tc>
          <w:tcPr>
            <w:tcW w:w="1234" w:type="dxa"/>
            <w:vAlign w:val="center"/>
          </w:tcPr>
          <w:p w14:paraId="435044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96B8E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E415A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C2F58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F56D9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1D8F5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B3C7D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7AB9023B">
            <w:pPr>
              <w:widowControl w:val="0"/>
              <w:snapToGrid w:val="0"/>
              <w:spacing w:line="240" w:lineRule="auto"/>
              <w:ind w:firstLine="0" w:firstLineChars="0"/>
              <w:rPr>
                <w:rFonts w:eastAsia="仿宋" w:cs="Times New Roman"/>
                <w:sz w:val="24"/>
                <w:szCs w:val="28"/>
              </w:rPr>
            </w:pPr>
          </w:p>
        </w:tc>
      </w:tr>
      <w:tr w14:paraId="26432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07B8360">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3D6BB34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66</w:t>
            </w:r>
          </w:p>
        </w:tc>
        <w:tc>
          <w:tcPr>
            <w:tcW w:w="2292" w:type="dxa"/>
            <w:vAlign w:val="center"/>
          </w:tcPr>
          <w:p w14:paraId="67C93D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强制平仓但未平仓账户监控：对应该平仓但是未平仓的账户监控预警</w:t>
            </w:r>
          </w:p>
        </w:tc>
        <w:tc>
          <w:tcPr>
            <w:tcW w:w="1234" w:type="dxa"/>
            <w:vAlign w:val="center"/>
          </w:tcPr>
          <w:p w14:paraId="2E3BC7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670AE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6BDE815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2142EE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B5962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F1D68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6420D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F1DD362">
            <w:pPr>
              <w:widowControl w:val="0"/>
              <w:snapToGrid w:val="0"/>
              <w:spacing w:line="240" w:lineRule="auto"/>
              <w:ind w:firstLine="0" w:firstLineChars="0"/>
              <w:rPr>
                <w:rFonts w:eastAsia="仿宋" w:cs="Times New Roman"/>
                <w:sz w:val="24"/>
                <w:szCs w:val="28"/>
              </w:rPr>
            </w:pPr>
          </w:p>
        </w:tc>
      </w:tr>
      <w:tr w14:paraId="5FF6E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786D0A53">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0A321C4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67</w:t>
            </w:r>
          </w:p>
        </w:tc>
        <w:tc>
          <w:tcPr>
            <w:tcW w:w="2292" w:type="dxa"/>
            <w:vAlign w:val="center"/>
          </w:tcPr>
          <w:p w14:paraId="3F726D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合并持仓超限：对会员所有客户按品种持仓最大数量进行监控</w:t>
            </w:r>
          </w:p>
        </w:tc>
        <w:tc>
          <w:tcPr>
            <w:tcW w:w="1234" w:type="dxa"/>
            <w:vAlign w:val="center"/>
          </w:tcPr>
          <w:p w14:paraId="23E89E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2E1F74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07B344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3671E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6011A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35FAD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89E41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4A52A7A9">
            <w:pPr>
              <w:widowControl w:val="0"/>
              <w:snapToGrid w:val="0"/>
              <w:spacing w:line="240" w:lineRule="auto"/>
              <w:ind w:firstLine="0" w:firstLineChars="0"/>
              <w:rPr>
                <w:rFonts w:eastAsia="仿宋" w:cs="Times New Roman"/>
                <w:sz w:val="24"/>
                <w:szCs w:val="28"/>
              </w:rPr>
            </w:pPr>
          </w:p>
        </w:tc>
      </w:tr>
      <w:tr w14:paraId="36F0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1DA6D264">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23E20C2A">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68</w:t>
            </w:r>
          </w:p>
        </w:tc>
        <w:tc>
          <w:tcPr>
            <w:tcW w:w="2292" w:type="dxa"/>
            <w:vAlign w:val="center"/>
          </w:tcPr>
          <w:p w14:paraId="31F965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评级越权交易监控：监控客户是否越权交易</w:t>
            </w:r>
          </w:p>
        </w:tc>
        <w:tc>
          <w:tcPr>
            <w:tcW w:w="1234" w:type="dxa"/>
            <w:vAlign w:val="center"/>
          </w:tcPr>
          <w:p w14:paraId="47C41C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992CE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1269" w:type="dxa"/>
            <w:vAlign w:val="center"/>
          </w:tcPr>
          <w:p w14:paraId="20013F4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AE588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02BDB3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290BB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57A5B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02093987">
            <w:pPr>
              <w:widowControl w:val="0"/>
              <w:snapToGrid w:val="0"/>
              <w:spacing w:line="240" w:lineRule="auto"/>
              <w:ind w:firstLine="0" w:firstLineChars="0"/>
              <w:rPr>
                <w:rFonts w:eastAsia="仿宋" w:cs="Times New Roman"/>
                <w:sz w:val="24"/>
                <w:szCs w:val="28"/>
              </w:rPr>
            </w:pPr>
          </w:p>
        </w:tc>
      </w:tr>
      <w:tr w14:paraId="439AC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460C1607">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8B5F28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69</w:t>
            </w:r>
          </w:p>
        </w:tc>
        <w:tc>
          <w:tcPr>
            <w:tcW w:w="2292" w:type="dxa"/>
            <w:vAlign w:val="center"/>
          </w:tcPr>
          <w:p w14:paraId="57269C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异常交易监控：建立投资者异常交易监控指标，并进行实时监控</w:t>
            </w:r>
          </w:p>
        </w:tc>
        <w:tc>
          <w:tcPr>
            <w:tcW w:w="1234" w:type="dxa"/>
            <w:vAlign w:val="center"/>
          </w:tcPr>
          <w:p w14:paraId="7F5B65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704477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1269" w:type="dxa"/>
            <w:vAlign w:val="center"/>
          </w:tcPr>
          <w:p w14:paraId="0DB631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196A0F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AAB1C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17B8C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BB6E5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28C18A8">
            <w:pPr>
              <w:widowControl w:val="0"/>
              <w:snapToGrid w:val="0"/>
              <w:spacing w:line="240" w:lineRule="auto"/>
              <w:ind w:firstLine="0" w:firstLineChars="0"/>
              <w:rPr>
                <w:rFonts w:eastAsia="仿宋" w:cs="Times New Roman"/>
                <w:sz w:val="24"/>
                <w:szCs w:val="28"/>
              </w:rPr>
            </w:pPr>
          </w:p>
        </w:tc>
      </w:tr>
      <w:tr w14:paraId="2B3A3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230C3D83">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27A0989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70</w:t>
            </w:r>
          </w:p>
        </w:tc>
        <w:tc>
          <w:tcPr>
            <w:tcW w:w="2292" w:type="dxa"/>
            <w:vAlign w:val="center"/>
          </w:tcPr>
          <w:p w14:paraId="570AB6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支持对程序</w:t>
            </w:r>
            <w:r>
              <w:rPr>
                <w:rFonts w:hint="eastAsia" w:eastAsia="仿宋" w:cs="Times New Roman"/>
                <w:sz w:val="24"/>
                <w:szCs w:val="28"/>
                <w:lang w:eastAsia="zh-CN"/>
              </w:rPr>
              <w:t>化</w:t>
            </w:r>
            <w:r>
              <w:rPr>
                <w:rFonts w:hint="eastAsia" w:eastAsia="仿宋" w:cs="Times New Roman"/>
                <w:sz w:val="24"/>
                <w:szCs w:val="28"/>
              </w:rPr>
              <w:t>交易账户的实时监控。</w:t>
            </w:r>
          </w:p>
        </w:tc>
        <w:tc>
          <w:tcPr>
            <w:tcW w:w="1234" w:type="dxa"/>
            <w:vAlign w:val="center"/>
          </w:tcPr>
          <w:p w14:paraId="50F782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4256E1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A1DE2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77BAB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2E73DE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E2EE2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7B729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8C1BB46">
            <w:pPr>
              <w:widowControl w:val="0"/>
              <w:snapToGrid w:val="0"/>
              <w:spacing w:line="240" w:lineRule="auto"/>
              <w:ind w:firstLine="0" w:firstLineChars="0"/>
              <w:rPr>
                <w:rFonts w:eastAsia="仿宋" w:cs="Times New Roman"/>
                <w:sz w:val="24"/>
                <w:szCs w:val="28"/>
              </w:rPr>
            </w:pPr>
          </w:p>
        </w:tc>
      </w:tr>
      <w:tr w14:paraId="69B55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735C311E">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32D5485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71</w:t>
            </w:r>
          </w:p>
        </w:tc>
        <w:tc>
          <w:tcPr>
            <w:tcW w:w="2292" w:type="dxa"/>
            <w:vAlign w:val="center"/>
          </w:tcPr>
          <w:p w14:paraId="3B4599A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备兑开仓标的除权除息监控：监控备兑开仓标的因除权除息导致不足时是否提前进行提醒及有预警提示</w:t>
            </w:r>
          </w:p>
        </w:tc>
        <w:tc>
          <w:tcPr>
            <w:tcW w:w="1234" w:type="dxa"/>
            <w:vAlign w:val="center"/>
          </w:tcPr>
          <w:p w14:paraId="7824B0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3298C7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2A3825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70D26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5E9DBB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43CBB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8FB33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27E7264F">
            <w:pPr>
              <w:widowControl w:val="0"/>
              <w:snapToGrid w:val="0"/>
              <w:spacing w:line="240" w:lineRule="auto"/>
              <w:ind w:firstLine="0" w:firstLineChars="0"/>
              <w:rPr>
                <w:rFonts w:eastAsia="仿宋" w:cs="Times New Roman"/>
                <w:sz w:val="24"/>
                <w:szCs w:val="28"/>
              </w:rPr>
            </w:pPr>
          </w:p>
        </w:tc>
      </w:tr>
      <w:tr w14:paraId="0B15C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65" w:type="dxa"/>
            <w:vMerge w:val="continue"/>
            <w:vAlign w:val="center"/>
          </w:tcPr>
          <w:p w14:paraId="6D43C52C">
            <w:pPr>
              <w:widowControl w:val="0"/>
              <w:snapToGrid w:val="0"/>
              <w:spacing w:line="240" w:lineRule="auto"/>
              <w:ind w:firstLine="0" w:firstLineChars="0"/>
              <w:jc w:val="center"/>
              <w:rPr>
                <w:rFonts w:eastAsia="仿宋" w:cs="Times New Roman"/>
                <w:b/>
                <w:sz w:val="24"/>
                <w:szCs w:val="28"/>
              </w:rPr>
            </w:pPr>
          </w:p>
        </w:tc>
        <w:tc>
          <w:tcPr>
            <w:tcW w:w="578" w:type="dxa"/>
            <w:vAlign w:val="center"/>
          </w:tcPr>
          <w:p w14:paraId="5BF01AC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72</w:t>
            </w:r>
          </w:p>
        </w:tc>
        <w:tc>
          <w:tcPr>
            <w:tcW w:w="2292" w:type="dxa"/>
            <w:vAlign w:val="center"/>
          </w:tcPr>
          <w:p w14:paraId="254101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支持除权除息日补仓监控及通知：对标的分红、转增、送配股，计算在除权除息日需补足的资券数量，并及时通知客户</w:t>
            </w:r>
          </w:p>
        </w:tc>
        <w:tc>
          <w:tcPr>
            <w:tcW w:w="1234" w:type="dxa"/>
            <w:vAlign w:val="center"/>
          </w:tcPr>
          <w:p w14:paraId="49D0C8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75" w:type="dxa"/>
            <w:vAlign w:val="center"/>
          </w:tcPr>
          <w:p w14:paraId="69A5CC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1269" w:type="dxa"/>
            <w:vAlign w:val="center"/>
          </w:tcPr>
          <w:p w14:paraId="18A3083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17FFF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1" w:type="dxa"/>
            <w:vAlign w:val="center"/>
          </w:tcPr>
          <w:p w14:paraId="668433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8AC6D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9E87F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740" w:type="dxa"/>
            <w:vAlign w:val="center"/>
          </w:tcPr>
          <w:p w14:paraId="376A7BA2">
            <w:pPr>
              <w:widowControl w:val="0"/>
              <w:snapToGrid w:val="0"/>
              <w:spacing w:line="240" w:lineRule="auto"/>
              <w:ind w:firstLine="0" w:firstLineChars="0"/>
              <w:rPr>
                <w:rFonts w:eastAsia="仿宋" w:cs="Times New Roman"/>
                <w:sz w:val="24"/>
                <w:szCs w:val="28"/>
              </w:rPr>
            </w:pPr>
          </w:p>
        </w:tc>
      </w:tr>
    </w:tbl>
    <w:p w14:paraId="5E12B361">
      <w:pPr>
        <w:spacing w:line="400" w:lineRule="exact"/>
        <w:ind w:firstLine="0" w:firstLineChars="0"/>
        <w:jc w:val="left"/>
        <w:rPr>
          <w:rFonts w:cs="Times New Roman"/>
          <w:bCs/>
          <w:sz w:val="28"/>
          <w:szCs w:val="21"/>
        </w:rPr>
      </w:pPr>
      <w:bookmarkStart w:id="565" w:name="_Toc382407891"/>
      <w:bookmarkEnd w:id="565"/>
    </w:p>
    <w:p w14:paraId="0E7868F5">
      <w:pPr>
        <w:spacing w:line="400" w:lineRule="exact"/>
        <w:ind w:firstLine="0" w:firstLineChars="0"/>
        <w:jc w:val="left"/>
        <w:rPr>
          <w:rFonts w:cs="Times New Roman"/>
          <w:bCs/>
          <w:sz w:val="28"/>
          <w:szCs w:val="21"/>
        </w:rPr>
      </w:pPr>
      <w:r>
        <w:rPr>
          <w:rFonts w:cs="Times New Roman"/>
          <w:bCs/>
          <w:sz w:val="28"/>
          <w:szCs w:val="21"/>
        </w:rPr>
        <w:br w:type="page"/>
      </w:r>
    </w:p>
    <w:p w14:paraId="3C5F34E1">
      <w:pPr>
        <w:spacing w:line="400" w:lineRule="exact"/>
        <w:ind w:firstLine="0" w:firstLineChars="0"/>
        <w:jc w:val="left"/>
        <w:rPr>
          <w:rFonts w:cs="Times New Roman"/>
          <w:bCs/>
          <w:sz w:val="28"/>
          <w:szCs w:val="21"/>
        </w:rPr>
      </w:pPr>
    </w:p>
    <w:p w14:paraId="2B7C6638">
      <w:pPr>
        <w:spacing w:line="400" w:lineRule="exact"/>
        <w:ind w:firstLine="0" w:firstLineChars="0"/>
        <w:jc w:val="center"/>
        <w:rPr>
          <w:rFonts w:eastAsia="楷体" w:cs="Times New Roman"/>
          <w:sz w:val="28"/>
          <w:szCs w:val="21"/>
        </w:rPr>
      </w:pPr>
      <w:bookmarkStart w:id="566" w:name="_Toc57819598"/>
      <w:r>
        <w:rPr>
          <w:rFonts w:hint="eastAsia" w:eastAsia="楷体" w:cs="Times New Roman"/>
          <w:sz w:val="28"/>
          <w:szCs w:val="21"/>
        </w:rPr>
        <w:t>第二部分</w:t>
      </w:r>
      <w:bookmarkEnd w:id="566"/>
    </w:p>
    <w:p w14:paraId="5E6A3AF3">
      <w:pPr>
        <w:spacing w:line="400" w:lineRule="exact"/>
        <w:ind w:firstLine="0" w:firstLineChars="0"/>
        <w:jc w:val="center"/>
        <w:rPr>
          <w:rFonts w:eastAsia="楷体" w:cs="Times New Roman"/>
          <w:sz w:val="28"/>
          <w:szCs w:val="21"/>
        </w:rPr>
      </w:pPr>
      <w:bookmarkStart w:id="567" w:name="_Toc57819599"/>
      <w:r>
        <w:rPr>
          <w:rFonts w:hint="eastAsia" w:eastAsia="楷体" w:cs="Times New Roman"/>
          <w:sz w:val="28"/>
          <w:szCs w:val="21"/>
        </w:rPr>
        <w:t>证券公司期权经纪业务登记结算就绪情况检查</w:t>
      </w:r>
      <w:bookmarkEnd w:id="567"/>
    </w:p>
    <w:p w14:paraId="2C64567E">
      <w:pPr>
        <w:spacing w:line="400" w:lineRule="exact"/>
        <w:ind w:firstLine="0" w:firstLineChars="0"/>
        <w:rPr>
          <w:rFonts w:eastAsia="黑体" w:cs="Times New Roman"/>
          <w:sz w:val="28"/>
          <w:szCs w:val="24"/>
        </w:rPr>
      </w:pPr>
      <w:bookmarkStart w:id="568" w:name="_Toc57819600"/>
      <w:r>
        <w:rPr>
          <w:rFonts w:hint="eastAsia" w:eastAsia="黑体" w:cs="Times New Roman"/>
          <w:sz w:val="28"/>
          <w:szCs w:val="24"/>
        </w:rPr>
        <w:t>一、基本要求</w:t>
      </w:r>
      <w:bookmarkEnd w:id="568"/>
    </w:p>
    <w:tbl>
      <w:tblPr>
        <w:tblStyle w:val="31"/>
        <w:tblW w:w="100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567"/>
        <w:gridCol w:w="568"/>
        <w:gridCol w:w="1417"/>
        <w:gridCol w:w="1134"/>
        <w:gridCol w:w="2156"/>
        <w:gridCol w:w="992"/>
        <w:gridCol w:w="1417"/>
        <w:gridCol w:w="1814"/>
      </w:tblGrid>
      <w:tr w14:paraId="490C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67" w:type="dxa"/>
            <w:vMerge w:val="restart"/>
            <w:vAlign w:val="center"/>
          </w:tcPr>
          <w:p w14:paraId="2056EDE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68" w:type="dxa"/>
            <w:vMerge w:val="restart"/>
            <w:vAlign w:val="center"/>
          </w:tcPr>
          <w:p w14:paraId="41F261E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1417" w:type="dxa"/>
            <w:vMerge w:val="restart"/>
            <w:vAlign w:val="center"/>
          </w:tcPr>
          <w:p w14:paraId="0AA1EB3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134" w:type="dxa"/>
            <w:vMerge w:val="restart"/>
            <w:vAlign w:val="center"/>
          </w:tcPr>
          <w:p w14:paraId="00C8E40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156" w:type="dxa"/>
            <w:vMerge w:val="restart"/>
            <w:vAlign w:val="center"/>
          </w:tcPr>
          <w:p w14:paraId="35E1055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4223" w:type="dxa"/>
            <w:gridSpan w:val="3"/>
            <w:vAlign w:val="center"/>
          </w:tcPr>
          <w:p w14:paraId="149591F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6FBA1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67" w:type="dxa"/>
            <w:vMerge w:val="continue"/>
            <w:vAlign w:val="center"/>
          </w:tcPr>
          <w:p w14:paraId="0FC4867F">
            <w:pPr>
              <w:widowControl w:val="0"/>
              <w:snapToGrid w:val="0"/>
              <w:spacing w:line="240" w:lineRule="auto"/>
              <w:ind w:firstLine="0" w:firstLineChars="0"/>
              <w:jc w:val="center"/>
              <w:rPr>
                <w:rFonts w:eastAsia="仿宋" w:cs="Times New Roman"/>
                <w:b/>
                <w:sz w:val="24"/>
                <w:szCs w:val="28"/>
              </w:rPr>
            </w:pPr>
          </w:p>
        </w:tc>
        <w:tc>
          <w:tcPr>
            <w:tcW w:w="568" w:type="dxa"/>
            <w:vMerge w:val="continue"/>
            <w:vAlign w:val="center"/>
          </w:tcPr>
          <w:p w14:paraId="016878FA">
            <w:pPr>
              <w:widowControl w:val="0"/>
              <w:snapToGrid w:val="0"/>
              <w:spacing w:line="240" w:lineRule="auto"/>
              <w:ind w:firstLine="0" w:firstLineChars="0"/>
              <w:jc w:val="center"/>
              <w:rPr>
                <w:rFonts w:eastAsia="仿宋" w:cs="Times New Roman"/>
                <w:b/>
                <w:sz w:val="24"/>
                <w:szCs w:val="28"/>
              </w:rPr>
            </w:pPr>
          </w:p>
        </w:tc>
        <w:tc>
          <w:tcPr>
            <w:tcW w:w="1417" w:type="dxa"/>
            <w:vMerge w:val="continue"/>
            <w:vAlign w:val="center"/>
          </w:tcPr>
          <w:p w14:paraId="1FF5C333">
            <w:pPr>
              <w:widowControl w:val="0"/>
              <w:snapToGrid w:val="0"/>
              <w:spacing w:line="240" w:lineRule="auto"/>
              <w:ind w:firstLine="0" w:firstLineChars="0"/>
              <w:jc w:val="center"/>
              <w:rPr>
                <w:rFonts w:eastAsia="仿宋" w:cs="Times New Roman"/>
                <w:b/>
                <w:sz w:val="24"/>
                <w:szCs w:val="28"/>
              </w:rPr>
            </w:pPr>
          </w:p>
        </w:tc>
        <w:tc>
          <w:tcPr>
            <w:tcW w:w="1134" w:type="dxa"/>
            <w:vMerge w:val="continue"/>
            <w:vAlign w:val="center"/>
          </w:tcPr>
          <w:p w14:paraId="324E2DBB">
            <w:pPr>
              <w:widowControl w:val="0"/>
              <w:snapToGrid w:val="0"/>
              <w:spacing w:line="240" w:lineRule="auto"/>
              <w:ind w:firstLine="0" w:firstLineChars="0"/>
              <w:jc w:val="center"/>
              <w:rPr>
                <w:rFonts w:eastAsia="仿宋" w:cs="Times New Roman"/>
                <w:b/>
                <w:sz w:val="24"/>
                <w:szCs w:val="28"/>
              </w:rPr>
            </w:pPr>
          </w:p>
        </w:tc>
        <w:tc>
          <w:tcPr>
            <w:tcW w:w="2156" w:type="dxa"/>
            <w:vMerge w:val="continue"/>
            <w:vAlign w:val="center"/>
          </w:tcPr>
          <w:p w14:paraId="7C3D38BB">
            <w:pPr>
              <w:widowControl w:val="0"/>
              <w:snapToGrid w:val="0"/>
              <w:spacing w:line="240" w:lineRule="auto"/>
              <w:ind w:firstLine="0" w:firstLineChars="0"/>
              <w:jc w:val="center"/>
              <w:rPr>
                <w:rFonts w:eastAsia="仿宋" w:cs="Times New Roman"/>
                <w:b/>
                <w:sz w:val="24"/>
                <w:szCs w:val="28"/>
              </w:rPr>
            </w:pPr>
          </w:p>
        </w:tc>
        <w:tc>
          <w:tcPr>
            <w:tcW w:w="992" w:type="dxa"/>
            <w:vAlign w:val="center"/>
          </w:tcPr>
          <w:p w14:paraId="53B665A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417" w:type="dxa"/>
            <w:vAlign w:val="center"/>
          </w:tcPr>
          <w:p w14:paraId="1767196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1814" w:type="dxa"/>
            <w:vAlign w:val="center"/>
          </w:tcPr>
          <w:p w14:paraId="69474F4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1542B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restart"/>
            <w:vAlign w:val="center"/>
          </w:tcPr>
          <w:p w14:paraId="51C1F2F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制度规则</w:t>
            </w:r>
          </w:p>
        </w:tc>
        <w:tc>
          <w:tcPr>
            <w:tcW w:w="568" w:type="dxa"/>
            <w:vAlign w:val="center"/>
          </w:tcPr>
          <w:p w14:paraId="18927F5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w:t>
            </w:r>
          </w:p>
        </w:tc>
        <w:tc>
          <w:tcPr>
            <w:tcW w:w="1417" w:type="dxa"/>
            <w:vAlign w:val="center"/>
          </w:tcPr>
          <w:p w14:paraId="472BFA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期权结算风险控制与风险处置相关制度</w:t>
            </w:r>
          </w:p>
        </w:tc>
        <w:tc>
          <w:tcPr>
            <w:tcW w:w="1134" w:type="dxa"/>
            <w:vAlign w:val="center"/>
          </w:tcPr>
          <w:p w14:paraId="7D3149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66ED2DF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3409FB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《中国证券登记结算有限责任公司关于上海证券交易所股票期权试点结算规则》（以下简称“《结算规则》”）</w:t>
            </w:r>
          </w:p>
          <w:p w14:paraId="7DF5FD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《中国证券登记结算有限责任公司上海分公司股票期权试点结算业务指南》（以下简称“《期权结算业务指南》”）</w:t>
            </w:r>
          </w:p>
        </w:tc>
        <w:tc>
          <w:tcPr>
            <w:tcW w:w="992" w:type="dxa"/>
            <w:vAlign w:val="center"/>
          </w:tcPr>
          <w:p w14:paraId="610590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D8970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0CB102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DA6E6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6E7E2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08D60321">
            <w:pPr>
              <w:widowControl w:val="0"/>
              <w:snapToGrid w:val="0"/>
              <w:spacing w:line="240" w:lineRule="auto"/>
              <w:ind w:firstLine="0" w:firstLineChars="0"/>
              <w:rPr>
                <w:rFonts w:eastAsia="仿宋" w:cs="Times New Roman"/>
                <w:sz w:val="24"/>
                <w:szCs w:val="28"/>
              </w:rPr>
            </w:pPr>
          </w:p>
        </w:tc>
      </w:tr>
      <w:tr w14:paraId="42E9C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3B5C1D61">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57DFE02A">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w:t>
            </w:r>
          </w:p>
        </w:tc>
        <w:tc>
          <w:tcPr>
            <w:tcW w:w="1417" w:type="dxa"/>
            <w:vAlign w:val="center"/>
          </w:tcPr>
          <w:p w14:paraId="42A781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独立的衍生品账户管理相关规定</w:t>
            </w:r>
          </w:p>
        </w:tc>
        <w:tc>
          <w:tcPr>
            <w:tcW w:w="1134" w:type="dxa"/>
            <w:vAlign w:val="center"/>
          </w:tcPr>
          <w:p w14:paraId="2F1FE7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7612A7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44BA53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3B1CA5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01FD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486C50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E50632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CF87A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138DD324">
            <w:pPr>
              <w:widowControl w:val="0"/>
              <w:snapToGrid w:val="0"/>
              <w:spacing w:line="240" w:lineRule="auto"/>
              <w:ind w:firstLine="0" w:firstLineChars="0"/>
              <w:rPr>
                <w:rFonts w:eastAsia="仿宋" w:cs="Times New Roman"/>
                <w:sz w:val="24"/>
                <w:szCs w:val="28"/>
              </w:rPr>
            </w:pPr>
          </w:p>
        </w:tc>
      </w:tr>
      <w:tr w14:paraId="58DB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1E606580">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7322961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w:t>
            </w:r>
          </w:p>
        </w:tc>
        <w:tc>
          <w:tcPr>
            <w:tcW w:w="1417" w:type="dxa"/>
            <w:vAlign w:val="center"/>
          </w:tcPr>
          <w:p w14:paraId="10E60D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独立的衍生品资金管理相关制度</w:t>
            </w:r>
          </w:p>
        </w:tc>
        <w:tc>
          <w:tcPr>
            <w:tcW w:w="1134" w:type="dxa"/>
            <w:vAlign w:val="center"/>
          </w:tcPr>
          <w:p w14:paraId="648FE4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7F4092F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B5438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190098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6EAE9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3CFD0A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28691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F7F3C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1F3895E9">
            <w:pPr>
              <w:widowControl w:val="0"/>
              <w:snapToGrid w:val="0"/>
              <w:spacing w:line="240" w:lineRule="auto"/>
              <w:ind w:firstLine="0" w:firstLineChars="0"/>
              <w:rPr>
                <w:rFonts w:eastAsia="仿宋" w:cs="Times New Roman"/>
                <w:sz w:val="24"/>
                <w:szCs w:val="28"/>
              </w:rPr>
            </w:pPr>
          </w:p>
        </w:tc>
      </w:tr>
      <w:tr w14:paraId="6F9E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05420BC5">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51CA2A2E">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w:t>
            </w:r>
          </w:p>
        </w:tc>
        <w:tc>
          <w:tcPr>
            <w:tcW w:w="1417" w:type="dxa"/>
            <w:vAlign w:val="center"/>
          </w:tcPr>
          <w:p w14:paraId="53C107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衍生品保证金管理相关制度</w:t>
            </w:r>
          </w:p>
        </w:tc>
        <w:tc>
          <w:tcPr>
            <w:tcW w:w="1134" w:type="dxa"/>
            <w:vAlign w:val="center"/>
          </w:tcPr>
          <w:p w14:paraId="2F4D26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3DD3F6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079CD9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274D91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5D394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00FE34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3323A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90476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2B3371B7">
            <w:pPr>
              <w:widowControl w:val="0"/>
              <w:snapToGrid w:val="0"/>
              <w:spacing w:line="240" w:lineRule="auto"/>
              <w:ind w:firstLine="0" w:firstLineChars="0"/>
              <w:rPr>
                <w:rFonts w:eastAsia="仿宋" w:cs="Times New Roman"/>
                <w:sz w:val="24"/>
                <w:szCs w:val="28"/>
              </w:rPr>
            </w:pPr>
          </w:p>
        </w:tc>
      </w:tr>
      <w:tr w14:paraId="35CA2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restart"/>
            <w:vAlign w:val="center"/>
          </w:tcPr>
          <w:p w14:paraId="25FF68C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流程</w:t>
            </w:r>
          </w:p>
        </w:tc>
        <w:tc>
          <w:tcPr>
            <w:tcW w:w="568" w:type="dxa"/>
            <w:vAlign w:val="center"/>
          </w:tcPr>
          <w:p w14:paraId="5263282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w:t>
            </w:r>
          </w:p>
        </w:tc>
        <w:tc>
          <w:tcPr>
            <w:tcW w:w="1417" w:type="dxa"/>
            <w:vAlign w:val="center"/>
          </w:tcPr>
          <w:p w14:paraId="4108512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衍生品账户管理流程：（</w:t>
            </w:r>
            <w:r>
              <w:rPr>
                <w:rFonts w:eastAsia="仿宋" w:cs="Times New Roman"/>
                <w:sz w:val="24"/>
                <w:szCs w:val="28"/>
              </w:rPr>
              <w:t>1）开户（2）销户（3）保证金比率设置（4）账户资料管理</w:t>
            </w:r>
          </w:p>
        </w:tc>
        <w:tc>
          <w:tcPr>
            <w:tcW w:w="1134" w:type="dxa"/>
            <w:vAlign w:val="center"/>
          </w:tcPr>
          <w:p w14:paraId="771E68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649962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B6ABC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78CC2D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BEAB6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0676A2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040A9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BA7DF5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122F25CF">
            <w:pPr>
              <w:widowControl w:val="0"/>
              <w:snapToGrid w:val="0"/>
              <w:spacing w:line="240" w:lineRule="auto"/>
              <w:ind w:firstLine="0" w:firstLineChars="0"/>
              <w:rPr>
                <w:rFonts w:eastAsia="仿宋" w:cs="Times New Roman"/>
                <w:sz w:val="24"/>
                <w:szCs w:val="28"/>
              </w:rPr>
            </w:pPr>
          </w:p>
        </w:tc>
      </w:tr>
      <w:tr w14:paraId="41079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2677317D">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45B2528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w:t>
            </w:r>
          </w:p>
        </w:tc>
        <w:tc>
          <w:tcPr>
            <w:tcW w:w="1417" w:type="dxa"/>
            <w:vAlign w:val="center"/>
          </w:tcPr>
          <w:p w14:paraId="65145E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结算流程：（</w:t>
            </w:r>
            <w:r>
              <w:rPr>
                <w:rFonts w:eastAsia="仿宋" w:cs="Times New Roman"/>
                <w:sz w:val="24"/>
                <w:szCs w:val="28"/>
              </w:rPr>
              <w:t>1）资金管理（2）自动行权（3）违约处置（4）资金垫付处理（5）异常情况处理</w:t>
            </w:r>
          </w:p>
        </w:tc>
        <w:tc>
          <w:tcPr>
            <w:tcW w:w="1134" w:type="dxa"/>
            <w:vAlign w:val="center"/>
          </w:tcPr>
          <w:p w14:paraId="596A14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55915C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448D99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074507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E4D00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6B0822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22C0D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F0651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10810774">
            <w:pPr>
              <w:widowControl w:val="0"/>
              <w:snapToGrid w:val="0"/>
              <w:spacing w:line="240" w:lineRule="auto"/>
              <w:ind w:firstLine="0" w:firstLineChars="0"/>
              <w:rPr>
                <w:rFonts w:eastAsia="仿宋" w:cs="Times New Roman"/>
                <w:sz w:val="24"/>
                <w:szCs w:val="28"/>
              </w:rPr>
            </w:pPr>
          </w:p>
        </w:tc>
      </w:tr>
      <w:tr w14:paraId="6224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5C02E692">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7654514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w:t>
            </w:r>
          </w:p>
        </w:tc>
        <w:tc>
          <w:tcPr>
            <w:tcW w:w="1417" w:type="dxa"/>
            <w:vAlign w:val="center"/>
          </w:tcPr>
          <w:p w14:paraId="1BBEA2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风险管理和处置流程：（</w:t>
            </w:r>
            <w:r>
              <w:rPr>
                <w:rFonts w:eastAsia="仿宋" w:cs="Times New Roman"/>
                <w:sz w:val="24"/>
                <w:szCs w:val="28"/>
              </w:rPr>
              <w:t>1）逐日盯市（2）强平规则、执行平仓处理审批流程（3）违约处理</w:t>
            </w:r>
          </w:p>
        </w:tc>
        <w:tc>
          <w:tcPr>
            <w:tcW w:w="1134" w:type="dxa"/>
            <w:vAlign w:val="center"/>
          </w:tcPr>
          <w:p w14:paraId="7B7D36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56" w:type="dxa"/>
            <w:vAlign w:val="center"/>
          </w:tcPr>
          <w:p w14:paraId="0D9E4673">
            <w:pPr>
              <w:widowControl w:val="0"/>
              <w:snapToGrid w:val="0"/>
              <w:spacing w:line="240" w:lineRule="auto"/>
              <w:ind w:firstLine="0" w:firstLineChars="0"/>
              <w:rPr>
                <w:rFonts w:eastAsia="仿宋" w:cs="Times New Roman"/>
                <w:sz w:val="24"/>
                <w:szCs w:val="28"/>
              </w:rPr>
            </w:pPr>
          </w:p>
          <w:p w14:paraId="0C0162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2C324E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210C8A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92" w:type="dxa"/>
            <w:vAlign w:val="center"/>
          </w:tcPr>
          <w:p w14:paraId="791864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7D32A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3B0BD7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057DE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602EF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499B33F3">
            <w:pPr>
              <w:widowControl w:val="0"/>
              <w:snapToGrid w:val="0"/>
              <w:spacing w:line="240" w:lineRule="auto"/>
              <w:ind w:firstLine="0" w:firstLineChars="0"/>
              <w:rPr>
                <w:rFonts w:eastAsia="仿宋" w:cs="Times New Roman"/>
                <w:sz w:val="24"/>
                <w:szCs w:val="28"/>
              </w:rPr>
            </w:pPr>
          </w:p>
        </w:tc>
      </w:tr>
      <w:tr w14:paraId="677D8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567" w:type="dxa"/>
            <w:vMerge w:val="continue"/>
            <w:vAlign w:val="center"/>
          </w:tcPr>
          <w:p w14:paraId="392688D9">
            <w:pPr>
              <w:widowControl w:val="0"/>
              <w:snapToGrid w:val="0"/>
              <w:spacing w:line="240" w:lineRule="auto"/>
              <w:ind w:firstLine="0" w:firstLineChars="0"/>
              <w:jc w:val="center"/>
              <w:rPr>
                <w:rFonts w:eastAsia="仿宋" w:cs="Times New Roman"/>
                <w:b/>
                <w:sz w:val="24"/>
                <w:szCs w:val="28"/>
              </w:rPr>
            </w:pPr>
          </w:p>
        </w:tc>
        <w:tc>
          <w:tcPr>
            <w:tcW w:w="568" w:type="dxa"/>
            <w:vAlign w:val="center"/>
          </w:tcPr>
          <w:p w14:paraId="165CAFB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1417" w:type="dxa"/>
            <w:vAlign w:val="center"/>
          </w:tcPr>
          <w:p w14:paraId="7CCEED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资金调拨、风险管理及处置等流程的人员岗位安排落实到位、职责清晰</w:t>
            </w:r>
          </w:p>
        </w:tc>
        <w:tc>
          <w:tcPr>
            <w:tcW w:w="1134" w:type="dxa"/>
            <w:vAlign w:val="center"/>
          </w:tcPr>
          <w:p w14:paraId="2982F3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p w14:paraId="1FBF9E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156" w:type="dxa"/>
            <w:vAlign w:val="center"/>
          </w:tcPr>
          <w:p w14:paraId="154326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4C18A2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828CFFB">
            <w:pPr>
              <w:widowControl w:val="0"/>
              <w:snapToGrid w:val="0"/>
              <w:spacing w:line="240" w:lineRule="auto"/>
              <w:ind w:firstLine="0" w:firstLineChars="0"/>
              <w:rPr>
                <w:rFonts w:eastAsia="仿宋" w:cs="Times New Roman"/>
                <w:sz w:val="24"/>
                <w:szCs w:val="28"/>
              </w:rPr>
            </w:pPr>
          </w:p>
        </w:tc>
        <w:tc>
          <w:tcPr>
            <w:tcW w:w="992" w:type="dxa"/>
            <w:vAlign w:val="center"/>
          </w:tcPr>
          <w:p w14:paraId="00BFB2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2C6B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17" w:type="dxa"/>
            <w:vAlign w:val="center"/>
          </w:tcPr>
          <w:p w14:paraId="241FCD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3155F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60C8D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814" w:type="dxa"/>
            <w:vAlign w:val="center"/>
          </w:tcPr>
          <w:p w14:paraId="7A8F5359">
            <w:pPr>
              <w:widowControl w:val="0"/>
              <w:snapToGrid w:val="0"/>
              <w:spacing w:line="240" w:lineRule="auto"/>
              <w:ind w:firstLine="0" w:firstLineChars="0"/>
              <w:rPr>
                <w:rFonts w:eastAsia="仿宋" w:cs="Times New Roman"/>
                <w:sz w:val="24"/>
                <w:szCs w:val="28"/>
              </w:rPr>
            </w:pPr>
          </w:p>
        </w:tc>
      </w:tr>
    </w:tbl>
    <w:p w14:paraId="551D58E4">
      <w:pPr>
        <w:spacing w:line="400" w:lineRule="exact"/>
        <w:ind w:firstLine="0" w:firstLineChars="0"/>
        <w:jc w:val="left"/>
        <w:rPr>
          <w:rFonts w:cs="Times New Roman"/>
          <w:bCs/>
          <w:sz w:val="28"/>
          <w:szCs w:val="21"/>
        </w:rPr>
      </w:pPr>
      <w:bookmarkStart w:id="569" w:name="_Toc57819601"/>
    </w:p>
    <w:p w14:paraId="61E807FB">
      <w:pPr>
        <w:spacing w:line="400" w:lineRule="exact"/>
        <w:ind w:firstLine="0" w:firstLineChars="0"/>
        <w:rPr>
          <w:rFonts w:eastAsia="黑体" w:cs="Times New Roman"/>
          <w:sz w:val="28"/>
          <w:szCs w:val="24"/>
        </w:rPr>
      </w:pPr>
      <w:r>
        <w:rPr>
          <w:rFonts w:hint="eastAsia" w:eastAsia="黑体" w:cs="Times New Roman"/>
          <w:sz w:val="28"/>
          <w:szCs w:val="24"/>
        </w:rPr>
        <w:t>二、功能要求</w:t>
      </w:r>
      <w:bookmarkEnd w:id="569"/>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756"/>
        <w:gridCol w:w="591"/>
        <w:gridCol w:w="1773"/>
        <w:gridCol w:w="1182"/>
        <w:gridCol w:w="2216"/>
        <w:gridCol w:w="1035"/>
        <w:gridCol w:w="1477"/>
        <w:gridCol w:w="1034"/>
      </w:tblGrid>
      <w:tr w14:paraId="77AFA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jc w:val="center"/>
        </w:trPr>
        <w:tc>
          <w:tcPr>
            <w:tcW w:w="756" w:type="dxa"/>
            <w:vMerge w:val="restart"/>
            <w:vAlign w:val="center"/>
          </w:tcPr>
          <w:p w14:paraId="1D870A4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91" w:type="dxa"/>
            <w:vMerge w:val="restart"/>
            <w:vAlign w:val="center"/>
          </w:tcPr>
          <w:p w14:paraId="60A1A3A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1773" w:type="dxa"/>
            <w:vMerge w:val="restart"/>
            <w:vAlign w:val="center"/>
          </w:tcPr>
          <w:p w14:paraId="340F118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182" w:type="dxa"/>
            <w:vMerge w:val="restart"/>
            <w:vAlign w:val="center"/>
          </w:tcPr>
          <w:p w14:paraId="41216C0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216" w:type="dxa"/>
            <w:vMerge w:val="restart"/>
            <w:vAlign w:val="center"/>
          </w:tcPr>
          <w:p w14:paraId="3A39EA3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3546" w:type="dxa"/>
            <w:gridSpan w:val="3"/>
            <w:vAlign w:val="center"/>
          </w:tcPr>
          <w:p w14:paraId="5AD9FC4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116C8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jc w:val="center"/>
        </w:trPr>
        <w:tc>
          <w:tcPr>
            <w:tcW w:w="756" w:type="dxa"/>
            <w:vMerge w:val="continue"/>
            <w:vAlign w:val="center"/>
          </w:tcPr>
          <w:p w14:paraId="295F7F71">
            <w:pPr>
              <w:widowControl w:val="0"/>
              <w:snapToGrid w:val="0"/>
              <w:spacing w:line="240" w:lineRule="auto"/>
              <w:ind w:firstLine="0" w:firstLineChars="0"/>
              <w:jc w:val="center"/>
              <w:rPr>
                <w:rFonts w:eastAsia="仿宋" w:cs="Times New Roman"/>
                <w:b/>
                <w:sz w:val="24"/>
                <w:szCs w:val="28"/>
              </w:rPr>
            </w:pPr>
          </w:p>
        </w:tc>
        <w:tc>
          <w:tcPr>
            <w:tcW w:w="591" w:type="dxa"/>
            <w:vMerge w:val="continue"/>
            <w:vAlign w:val="center"/>
          </w:tcPr>
          <w:p w14:paraId="4FA8D81C">
            <w:pPr>
              <w:widowControl w:val="0"/>
              <w:snapToGrid w:val="0"/>
              <w:spacing w:line="240" w:lineRule="auto"/>
              <w:ind w:firstLine="0" w:firstLineChars="0"/>
              <w:jc w:val="center"/>
              <w:rPr>
                <w:rFonts w:eastAsia="仿宋" w:cs="Times New Roman"/>
                <w:b/>
                <w:sz w:val="24"/>
                <w:szCs w:val="28"/>
              </w:rPr>
            </w:pPr>
          </w:p>
        </w:tc>
        <w:tc>
          <w:tcPr>
            <w:tcW w:w="1773" w:type="dxa"/>
            <w:vMerge w:val="continue"/>
            <w:vAlign w:val="center"/>
          </w:tcPr>
          <w:p w14:paraId="1B777DA5">
            <w:pPr>
              <w:widowControl w:val="0"/>
              <w:snapToGrid w:val="0"/>
              <w:spacing w:line="240" w:lineRule="auto"/>
              <w:ind w:firstLine="0" w:firstLineChars="0"/>
              <w:jc w:val="center"/>
              <w:rPr>
                <w:rFonts w:eastAsia="仿宋" w:cs="Times New Roman"/>
                <w:b/>
                <w:sz w:val="24"/>
                <w:szCs w:val="28"/>
              </w:rPr>
            </w:pPr>
          </w:p>
        </w:tc>
        <w:tc>
          <w:tcPr>
            <w:tcW w:w="1182" w:type="dxa"/>
            <w:vMerge w:val="continue"/>
            <w:vAlign w:val="center"/>
          </w:tcPr>
          <w:p w14:paraId="521BE3C1">
            <w:pPr>
              <w:widowControl w:val="0"/>
              <w:snapToGrid w:val="0"/>
              <w:spacing w:line="240" w:lineRule="auto"/>
              <w:ind w:firstLine="0" w:firstLineChars="0"/>
              <w:jc w:val="center"/>
              <w:rPr>
                <w:rFonts w:eastAsia="仿宋" w:cs="Times New Roman"/>
                <w:b/>
                <w:sz w:val="24"/>
                <w:szCs w:val="28"/>
              </w:rPr>
            </w:pPr>
          </w:p>
        </w:tc>
        <w:tc>
          <w:tcPr>
            <w:tcW w:w="2216" w:type="dxa"/>
            <w:vMerge w:val="continue"/>
            <w:vAlign w:val="center"/>
          </w:tcPr>
          <w:p w14:paraId="12FD4187">
            <w:pPr>
              <w:widowControl w:val="0"/>
              <w:snapToGrid w:val="0"/>
              <w:spacing w:line="240" w:lineRule="auto"/>
              <w:ind w:firstLine="0" w:firstLineChars="0"/>
              <w:jc w:val="center"/>
              <w:rPr>
                <w:rFonts w:eastAsia="仿宋" w:cs="Times New Roman"/>
                <w:b/>
                <w:sz w:val="24"/>
                <w:szCs w:val="28"/>
              </w:rPr>
            </w:pPr>
          </w:p>
        </w:tc>
        <w:tc>
          <w:tcPr>
            <w:tcW w:w="1035" w:type="dxa"/>
            <w:vAlign w:val="center"/>
          </w:tcPr>
          <w:p w14:paraId="18C7866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477" w:type="dxa"/>
            <w:vAlign w:val="center"/>
          </w:tcPr>
          <w:p w14:paraId="397CC7C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1034" w:type="dxa"/>
            <w:vAlign w:val="center"/>
          </w:tcPr>
          <w:p w14:paraId="030928B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460CF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Align w:val="center"/>
          </w:tcPr>
          <w:p w14:paraId="0CC6843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账户管理业务</w:t>
            </w:r>
          </w:p>
        </w:tc>
        <w:tc>
          <w:tcPr>
            <w:tcW w:w="591" w:type="dxa"/>
            <w:vAlign w:val="center"/>
          </w:tcPr>
          <w:p w14:paraId="36CA1C8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1773" w:type="dxa"/>
            <w:vAlign w:val="center"/>
          </w:tcPr>
          <w:p w14:paraId="02B426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支持正常开立</w:t>
            </w:r>
            <w:r>
              <w:rPr>
                <w:rFonts w:eastAsia="仿宋" w:cs="Times New Roman"/>
                <w:sz w:val="24"/>
                <w:szCs w:val="28"/>
              </w:rPr>
              <w:t>/注销客户衍生品合约账户功能</w:t>
            </w:r>
          </w:p>
        </w:tc>
        <w:tc>
          <w:tcPr>
            <w:tcW w:w="1182" w:type="dxa"/>
            <w:vAlign w:val="center"/>
          </w:tcPr>
          <w:p w14:paraId="5423B7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7955DF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E5B79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4653D3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8E75E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7F3185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9D5FD6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16730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3EB52303">
            <w:pPr>
              <w:widowControl w:val="0"/>
              <w:snapToGrid w:val="0"/>
              <w:spacing w:line="240" w:lineRule="auto"/>
              <w:ind w:firstLine="0" w:firstLineChars="0"/>
              <w:rPr>
                <w:rFonts w:eastAsia="仿宋" w:cs="Times New Roman"/>
                <w:sz w:val="24"/>
                <w:szCs w:val="28"/>
              </w:rPr>
            </w:pPr>
          </w:p>
        </w:tc>
      </w:tr>
      <w:tr w14:paraId="661C6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restart"/>
            <w:vAlign w:val="center"/>
          </w:tcPr>
          <w:p w14:paraId="7B1AA19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结算日常业务</w:t>
            </w:r>
          </w:p>
        </w:tc>
        <w:tc>
          <w:tcPr>
            <w:tcW w:w="591" w:type="dxa"/>
            <w:vAlign w:val="center"/>
          </w:tcPr>
          <w:p w14:paraId="47B704F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1773" w:type="dxa"/>
            <w:vAlign w:val="center"/>
          </w:tcPr>
          <w:p w14:paraId="534728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支持结算账户设置及期权多边净额结算</w:t>
            </w:r>
          </w:p>
        </w:tc>
        <w:tc>
          <w:tcPr>
            <w:tcW w:w="1182" w:type="dxa"/>
            <w:vAlign w:val="center"/>
          </w:tcPr>
          <w:p w14:paraId="6BEDEC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219884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32809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620001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55130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06C5EA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1CB38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C5064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5325A449">
            <w:pPr>
              <w:widowControl w:val="0"/>
              <w:snapToGrid w:val="0"/>
              <w:spacing w:line="240" w:lineRule="auto"/>
              <w:ind w:firstLine="0" w:firstLineChars="0"/>
              <w:rPr>
                <w:rFonts w:eastAsia="仿宋" w:cs="Times New Roman"/>
                <w:sz w:val="24"/>
                <w:szCs w:val="28"/>
              </w:rPr>
            </w:pPr>
          </w:p>
        </w:tc>
      </w:tr>
      <w:tr w14:paraId="636B2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699EDE1E">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0EBC129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11</w:t>
            </w:r>
          </w:p>
        </w:tc>
        <w:tc>
          <w:tcPr>
            <w:tcW w:w="1773" w:type="dxa"/>
            <w:vAlign w:val="center"/>
          </w:tcPr>
          <w:p w14:paraId="6022280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支持清算后数据对账</w:t>
            </w:r>
          </w:p>
        </w:tc>
        <w:tc>
          <w:tcPr>
            <w:tcW w:w="1182" w:type="dxa"/>
            <w:vAlign w:val="center"/>
          </w:tcPr>
          <w:p w14:paraId="1967B5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3AA2E3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5EC42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23CAD8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7D461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69B266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C1451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28F98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49EB500F">
            <w:pPr>
              <w:widowControl w:val="0"/>
              <w:snapToGrid w:val="0"/>
              <w:spacing w:line="240" w:lineRule="auto"/>
              <w:ind w:firstLine="0" w:firstLineChars="0"/>
              <w:rPr>
                <w:rFonts w:eastAsia="仿宋" w:cs="Times New Roman"/>
                <w:sz w:val="24"/>
                <w:szCs w:val="28"/>
              </w:rPr>
            </w:pPr>
          </w:p>
        </w:tc>
      </w:tr>
      <w:tr w14:paraId="1187F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2101EEB9">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622FE0F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1773" w:type="dxa"/>
            <w:vAlign w:val="center"/>
          </w:tcPr>
          <w:p w14:paraId="61D608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支持资金划付功能及衍生品资金管理（包括对账、结息等）</w:t>
            </w:r>
          </w:p>
        </w:tc>
        <w:tc>
          <w:tcPr>
            <w:tcW w:w="1182" w:type="dxa"/>
            <w:vAlign w:val="center"/>
          </w:tcPr>
          <w:p w14:paraId="6B0637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68972C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0A8D6F2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6EEE32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30281A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52358D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B8E0E5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3CA39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401F72E8">
            <w:pPr>
              <w:widowControl w:val="0"/>
              <w:snapToGrid w:val="0"/>
              <w:spacing w:line="240" w:lineRule="auto"/>
              <w:ind w:firstLine="0" w:firstLineChars="0"/>
              <w:rPr>
                <w:rFonts w:eastAsia="仿宋" w:cs="Times New Roman"/>
                <w:sz w:val="24"/>
                <w:szCs w:val="28"/>
              </w:rPr>
            </w:pPr>
          </w:p>
        </w:tc>
      </w:tr>
      <w:tr w14:paraId="27733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287BD827">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3220278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13</w:t>
            </w:r>
          </w:p>
        </w:tc>
        <w:tc>
          <w:tcPr>
            <w:tcW w:w="1773" w:type="dxa"/>
            <w:vAlign w:val="center"/>
          </w:tcPr>
          <w:p w14:paraId="169984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支持交易结算及行权结算</w:t>
            </w:r>
          </w:p>
        </w:tc>
        <w:tc>
          <w:tcPr>
            <w:tcW w:w="1182" w:type="dxa"/>
            <w:vAlign w:val="center"/>
          </w:tcPr>
          <w:p w14:paraId="1A835C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3C6F46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401A5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1E29B0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075FD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0984F3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C6F40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304AB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4545F274">
            <w:pPr>
              <w:widowControl w:val="0"/>
              <w:snapToGrid w:val="0"/>
              <w:spacing w:line="240" w:lineRule="auto"/>
              <w:ind w:firstLine="0" w:firstLineChars="0"/>
              <w:rPr>
                <w:rFonts w:eastAsia="仿宋" w:cs="Times New Roman"/>
                <w:sz w:val="24"/>
                <w:szCs w:val="28"/>
              </w:rPr>
            </w:pPr>
          </w:p>
        </w:tc>
      </w:tr>
      <w:tr w14:paraId="29432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restart"/>
            <w:vAlign w:val="center"/>
          </w:tcPr>
          <w:p w14:paraId="090BCE4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结算风险控制</w:t>
            </w:r>
          </w:p>
        </w:tc>
        <w:tc>
          <w:tcPr>
            <w:tcW w:w="591" w:type="dxa"/>
            <w:vAlign w:val="center"/>
          </w:tcPr>
          <w:p w14:paraId="24F4EF1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14</w:t>
            </w:r>
          </w:p>
        </w:tc>
        <w:tc>
          <w:tcPr>
            <w:tcW w:w="1773" w:type="dxa"/>
            <w:vAlign w:val="center"/>
          </w:tcPr>
          <w:p w14:paraId="6384AD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支持逐日盯市保证金收取</w:t>
            </w:r>
          </w:p>
        </w:tc>
        <w:tc>
          <w:tcPr>
            <w:tcW w:w="1182" w:type="dxa"/>
            <w:vAlign w:val="center"/>
          </w:tcPr>
          <w:p w14:paraId="73F0B7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74C7FD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375AC2E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2FF45D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CAE37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529193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5C867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439D1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19388B42">
            <w:pPr>
              <w:widowControl w:val="0"/>
              <w:snapToGrid w:val="0"/>
              <w:spacing w:line="240" w:lineRule="auto"/>
              <w:ind w:firstLine="0" w:firstLineChars="0"/>
              <w:rPr>
                <w:rFonts w:eastAsia="仿宋" w:cs="Times New Roman"/>
                <w:sz w:val="24"/>
                <w:szCs w:val="28"/>
              </w:rPr>
            </w:pPr>
          </w:p>
        </w:tc>
      </w:tr>
      <w:tr w14:paraId="3406F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0F7BDDE6">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1DFC851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15</w:t>
            </w:r>
          </w:p>
        </w:tc>
        <w:tc>
          <w:tcPr>
            <w:tcW w:w="1773" w:type="dxa"/>
            <w:vAlign w:val="center"/>
          </w:tcPr>
          <w:p w14:paraId="7B8B8B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支持衍生品保证金的监控</w:t>
            </w:r>
          </w:p>
        </w:tc>
        <w:tc>
          <w:tcPr>
            <w:tcW w:w="1182" w:type="dxa"/>
            <w:vAlign w:val="center"/>
          </w:tcPr>
          <w:p w14:paraId="3363DE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19512E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5A60F1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541340F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1B050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640B03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5A16A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C76B0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204FE4BE">
            <w:pPr>
              <w:widowControl w:val="0"/>
              <w:snapToGrid w:val="0"/>
              <w:spacing w:line="240" w:lineRule="auto"/>
              <w:ind w:firstLine="0" w:firstLineChars="0"/>
              <w:rPr>
                <w:rFonts w:eastAsia="仿宋" w:cs="Times New Roman"/>
                <w:sz w:val="24"/>
                <w:szCs w:val="28"/>
              </w:rPr>
            </w:pPr>
          </w:p>
        </w:tc>
      </w:tr>
      <w:tr w14:paraId="28083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0B774281">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793EFF5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16</w:t>
            </w:r>
          </w:p>
        </w:tc>
        <w:tc>
          <w:tcPr>
            <w:tcW w:w="1773" w:type="dxa"/>
            <w:vAlign w:val="center"/>
          </w:tcPr>
          <w:p w14:paraId="00D69A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支持期权行权证券交收不足和资金交收违约的处理、证券转处置及处置证券的转回</w:t>
            </w:r>
          </w:p>
        </w:tc>
        <w:tc>
          <w:tcPr>
            <w:tcW w:w="1182" w:type="dxa"/>
            <w:vAlign w:val="center"/>
          </w:tcPr>
          <w:p w14:paraId="43F012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6C0A76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88171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48E0FC0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A32A4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03D67B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642957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36D13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1A898035">
            <w:pPr>
              <w:widowControl w:val="0"/>
              <w:snapToGrid w:val="0"/>
              <w:spacing w:line="240" w:lineRule="auto"/>
              <w:ind w:firstLine="0" w:firstLineChars="0"/>
              <w:rPr>
                <w:rFonts w:eastAsia="仿宋" w:cs="Times New Roman"/>
                <w:sz w:val="24"/>
                <w:szCs w:val="28"/>
              </w:rPr>
            </w:pPr>
          </w:p>
        </w:tc>
      </w:tr>
      <w:tr w14:paraId="2F6C4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5F1661D5">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78B40D6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17</w:t>
            </w:r>
          </w:p>
        </w:tc>
        <w:tc>
          <w:tcPr>
            <w:tcW w:w="1773" w:type="dxa"/>
            <w:vAlign w:val="center"/>
          </w:tcPr>
          <w:p w14:paraId="2E723C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支持结算担保金的管理</w:t>
            </w:r>
          </w:p>
        </w:tc>
        <w:tc>
          <w:tcPr>
            <w:tcW w:w="1182" w:type="dxa"/>
            <w:vAlign w:val="center"/>
          </w:tcPr>
          <w:p w14:paraId="6F9144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330294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05126A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2E8A23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48E41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60822C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CFF98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486DF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753C8FF9">
            <w:pPr>
              <w:widowControl w:val="0"/>
              <w:snapToGrid w:val="0"/>
              <w:spacing w:line="240" w:lineRule="auto"/>
              <w:ind w:firstLine="0" w:firstLineChars="0"/>
              <w:rPr>
                <w:rFonts w:eastAsia="仿宋" w:cs="Times New Roman"/>
                <w:sz w:val="24"/>
                <w:szCs w:val="28"/>
              </w:rPr>
            </w:pPr>
          </w:p>
        </w:tc>
      </w:tr>
      <w:tr w14:paraId="0043C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680D74E6">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674A7B5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18</w:t>
            </w:r>
          </w:p>
        </w:tc>
        <w:tc>
          <w:tcPr>
            <w:tcW w:w="1773" w:type="dxa"/>
            <w:vAlign w:val="center"/>
          </w:tcPr>
          <w:p w14:paraId="2F698B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支持保证金不足及备兑证券不足的风险监控及处理、强行平仓</w:t>
            </w:r>
          </w:p>
        </w:tc>
        <w:tc>
          <w:tcPr>
            <w:tcW w:w="1182" w:type="dxa"/>
            <w:vAlign w:val="center"/>
          </w:tcPr>
          <w:p w14:paraId="7F0BF7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09242E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4C1C3F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2B854F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24A145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9E8A6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4D5772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EC565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5CDD8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24E8564E">
            <w:pPr>
              <w:widowControl w:val="0"/>
              <w:snapToGrid w:val="0"/>
              <w:spacing w:line="240" w:lineRule="auto"/>
              <w:ind w:firstLine="0" w:firstLineChars="0"/>
              <w:rPr>
                <w:rFonts w:eastAsia="仿宋" w:cs="Times New Roman"/>
                <w:sz w:val="24"/>
                <w:szCs w:val="28"/>
              </w:rPr>
            </w:pPr>
          </w:p>
        </w:tc>
      </w:tr>
      <w:tr w14:paraId="29E63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434F18ED">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4C7C0BF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19</w:t>
            </w:r>
          </w:p>
        </w:tc>
        <w:tc>
          <w:tcPr>
            <w:tcW w:w="1773" w:type="dxa"/>
            <w:vAlign w:val="center"/>
          </w:tcPr>
          <w:p w14:paraId="4DE429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支持行权临近日到期合约的监控；支持临近到期组合策略解除的监控</w:t>
            </w:r>
          </w:p>
        </w:tc>
        <w:tc>
          <w:tcPr>
            <w:tcW w:w="1182" w:type="dxa"/>
            <w:vAlign w:val="center"/>
          </w:tcPr>
          <w:p w14:paraId="4516DA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18B6E9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3C220A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《上海证券交易所、中国证券登记结算有限责任公司股票期权组合策略业务实施细则》</w:t>
            </w:r>
          </w:p>
          <w:p w14:paraId="00F948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765E86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34E50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0E856A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F4434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6A954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0926A074">
            <w:pPr>
              <w:widowControl w:val="0"/>
              <w:snapToGrid w:val="0"/>
              <w:spacing w:line="240" w:lineRule="auto"/>
              <w:ind w:firstLine="0" w:firstLineChars="0"/>
              <w:rPr>
                <w:rFonts w:eastAsia="仿宋" w:cs="Times New Roman"/>
                <w:sz w:val="24"/>
                <w:szCs w:val="28"/>
              </w:rPr>
            </w:pPr>
          </w:p>
        </w:tc>
      </w:tr>
      <w:tr w14:paraId="512C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restart"/>
            <w:vAlign w:val="center"/>
          </w:tcPr>
          <w:p w14:paraId="00057BA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结算技术系统</w:t>
            </w:r>
          </w:p>
        </w:tc>
        <w:tc>
          <w:tcPr>
            <w:tcW w:w="591" w:type="dxa"/>
            <w:vAlign w:val="center"/>
          </w:tcPr>
          <w:p w14:paraId="6D665C3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20</w:t>
            </w:r>
          </w:p>
        </w:tc>
        <w:tc>
          <w:tcPr>
            <w:tcW w:w="1773" w:type="dxa"/>
            <w:vAlign w:val="center"/>
          </w:tcPr>
          <w:p w14:paraId="0AEC5E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支持获取日终业务回报文件，正确处理中国结算开户</w:t>
            </w:r>
            <w:r>
              <w:rPr>
                <w:rFonts w:eastAsia="仿宋" w:cs="Times New Roman"/>
                <w:sz w:val="24"/>
                <w:szCs w:val="28"/>
              </w:rPr>
              <w:t>/销户通知结果；开户/注销指令权限设置责任明确</w:t>
            </w:r>
          </w:p>
        </w:tc>
        <w:tc>
          <w:tcPr>
            <w:tcW w:w="1182" w:type="dxa"/>
            <w:vAlign w:val="center"/>
          </w:tcPr>
          <w:p w14:paraId="28F54F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65EB2B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09DF19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EE592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5830CC8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32417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AA9B1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5B0E5DAB">
            <w:pPr>
              <w:widowControl w:val="0"/>
              <w:snapToGrid w:val="0"/>
              <w:spacing w:line="240" w:lineRule="auto"/>
              <w:ind w:firstLine="0" w:firstLineChars="0"/>
              <w:rPr>
                <w:rFonts w:eastAsia="仿宋" w:cs="Times New Roman"/>
                <w:sz w:val="24"/>
                <w:szCs w:val="28"/>
              </w:rPr>
            </w:pPr>
          </w:p>
        </w:tc>
      </w:tr>
      <w:tr w14:paraId="77196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2E787658">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5E60E32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21</w:t>
            </w:r>
          </w:p>
        </w:tc>
        <w:tc>
          <w:tcPr>
            <w:tcW w:w="1773" w:type="dxa"/>
            <w:vAlign w:val="center"/>
          </w:tcPr>
          <w:p w14:paraId="45F789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系统能够根据文件发送结束标志接收中国结算信箱期权系统相关文件；系统能够对日终文件自动、准确的进行清算交收处理；系统能够每周对全量数据进行比对并报告异常结果。</w:t>
            </w:r>
          </w:p>
        </w:tc>
        <w:tc>
          <w:tcPr>
            <w:tcW w:w="1182" w:type="dxa"/>
            <w:vAlign w:val="center"/>
          </w:tcPr>
          <w:p w14:paraId="4471BC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5A4D0E1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5921AED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7C3C5F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32651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602031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E0D6E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44251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2F309D90">
            <w:pPr>
              <w:widowControl w:val="0"/>
              <w:snapToGrid w:val="0"/>
              <w:spacing w:line="240" w:lineRule="auto"/>
              <w:ind w:firstLine="0" w:firstLineChars="0"/>
              <w:rPr>
                <w:rFonts w:eastAsia="仿宋" w:cs="Times New Roman"/>
                <w:sz w:val="24"/>
                <w:szCs w:val="28"/>
              </w:rPr>
            </w:pPr>
          </w:p>
        </w:tc>
      </w:tr>
      <w:tr w14:paraId="46D85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249000C7">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437A8D4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22</w:t>
            </w:r>
          </w:p>
        </w:tc>
        <w:tc>
          <w:tcPr>
            <w:tcW w:w="1773" w:type="dxa"/>
            <w:vAlign w:val="center"/>
          </w:tcPr>
          <w:p w14:paraId="4F8A1B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清算系统存在冗余灾备系统，能够在发生宕机、掉电或其他不可抗力时及时恢复</w:t>
            </w:r>
          </w:p>
        </w:tc>
        <w:tc>
          <w:tcPr>
            <w:tcW w:w="1182" w:type="dxa"/>
            <w:vAlign w:val="center"/>
          </w:tcPr>
          <w:p w14:paraId="004662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274214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2D21E8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08DEA9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1161F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28B3E8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8FA08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B1304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33971A4A">
            <w:pPr>
              <w:widowControl w:val="0"/>
              <w:snapToGrid w:val="0"/>
              <w:spacing w:line="240" w:lineRule="auto"/>
              <w:ind w:firstLine="0" w:firstLineChars="0"/>
              <w:rPr>
                <w:rFonts w:eastAsia="仿宋" w:cs="Times New Roman"/>
                <w:sz w:val="24"/>
                <w:szCs w:val="28"/>
              </w:rPr>
            </w:pPr>
          </w:p>
        </w:tc>
      </w:tr>
      <w:tr w14:paraId="0948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 w:hRule="atLeast"/>
          <w:jc w:val="center"/>
        </w:trPr>
        <w:tc>
          <w:tcPr>
            <w:tcW w:w="756" w:type="dxa"/>
            <w:vMerge w:val="continue"/>
            <w:vAlign w:val="center"/>
          </w:tcPr>
          <w:p w14:paraId="74E3154D">
            <w:pPr>
              <w:widowControl w:val="0"/>
              <w:snapToGrid w:val="0"/>
              <w:spacing w:line="240" w:lineRule="auto"/>
              <w:ind w:firstLine="0" w:firstLineChars="0"/>
              <w:jc w:val="center"/>
              <w:rPr>
                <w:rFonts w:eastAsia="仿宋" w:cs="Times New Roman"/>
                <w:b/>
                <w:sz w:val="24"/>
                <w:szCs w:val="28"/>
              </w:rPr>
            </w:pPr>
          </w:p>
        </w:tc>
        <w:tc>
          <w:tcPr>
            <w:tcW w:w="591" w:type="dxa"/>
            <w:vAlign w:val="center"/>
          </w:tcPr>
          <w:p w14:paraId="46B51D0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23</w:t>
            </w:r>
          </w:p>
        </w:tc>
        <w:tc>
          <w:tcPr>
            <w:tcW w:w="1773" w:type="dxa"/>
            <w:vAlign w:val="center"/>
          </w:tcPr>
          <w:p w14:paraId="2D26E7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系统对中国结算的日终文件留有备份；并应支持在系统出错或意外中断等情况下根据备份日终文件重新进行清算。</w:t>
            </w:r>
          </w:p>
        </w:tc>
        <w:tc>
          <w:tcPr>
            <w:tcW w:w="1182" w:type="dxa"/>
            <w:vAlign w:val="center"/>
          </w:tcPr>
          <w:p w14:paraId="48903E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216" w:type="dxa"/>
            <w:vAlign w:val="center"/>
          </w:tcPr>
          <w:p w14:paraId="60BED8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49549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1035" w:type="dxa"/>
            <w:vAlign w:val="center"/>
          </w:tcPr>
          <w:p w14:paraId="3E2243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37478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477" w:type="dxa"/>
            <w:vAlign w:val="center"/>
          </w:tcPr>
          <w:p w14:paraId="663670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19795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F59F76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1034" w:type="dxa"/>
            <w:vAlign w:val="center"/>
          </w:tcPr>
          <w:p w14:paraId="79749A15">
            <w:pPr>
              <w:widowControl w:val="0"/>
              <w:snapToGrid w:val="0"/>
              <w:spacing w:line="240" w:lineRule="auto"/>
              <w:ind w:firstLine="0" w:firstLineChars="0"/>
              <w:rPr>
                <w:rFonts w:eastAsia="仿宋" w:cs="Times New Roman"/>
                <w:sz w:val="24"/>
                <w:szCs w:val="28"/>
              </w:rPr>
            </w:pPr>
          </w:p>
        </w:tc>
      </w:tr>
    </w:tbl>
    <w:p w14:paraId="2A577FB3">
      <w:pPr>
        <w:spacing w:line="400" w:lineRule="exact"/>
        <w:ind w:firstLine="0" w:firstLineChars="0"/>
        <w:rPr>
          <w:rFonts w:cs="Times New Roman"/>
          <w:sz w:val="28"/>
          <w:szCs w:val="21"/>
        </w:rPr>
      </w:pPr>
    </w:p>
    <w:p w14:paraId="79CAD170">
      <w:pPr>
        <w:spacing w:line="400" w:lineRule="exact"/>
        <w:ind w:firstLine="0" w:firstLineChars="0"/>
        <w:jc w:val="center"/>
        <w:rPr>
          <w:rFonts w:eastAsia="楷体" w:cs="Times New Roman"/>
          <w:sz w:val="28"/>
          <w:szCs w:val="21"/>
        </w:rPr>
      </w:pPr>
      <w:r>
        <w:rPr>
          <w:rFonts w:cs="Times New Roman"/>
          <w:sz w:val="28"/>
          <w:szCs w:val="21"/>
        </w:rPr>
        <w:br w:type="page"/>
      </w:r>
      <w:bookmarkStart w:id="570" w:name="_Toc57819602"/>
      <w:r>
        <w:rPr>
          <w:rFonts w:hint="eastAsia" w:eastAsia="楷体" w:cs="Times New Roman"/>
          <w:sz w:val="28"/>
          <w:szCs w:val="21"/>
        </w:rPr>
        <w:t>第三部分</w:t>
      </w:r>
      <w:bookmarkEnd w:id="570"/>
    </w:p>
    <w:p w14:paraId="74D1A69A">
      <w:pPr>
        <w:spacing w:line="400" w:lineRule="exact"/>
        <w:ind w:firstLine="0" w:firstLineChars="0"/>
        <w:jc w:val="center"/>
        <w:rPr>
          <w:rFonts w:eastAsia="楷体" w:cs="Times New Roman"/>
          <w:sz w:val="28"/>
          <w:szCs w:val="21"/>
        </w:rPr>
      </w:pPr>
      <w:bookmarkStart w:id="571" w:name="_Toc57819603"/>
      <w:r>
        <w:rPr>
          <w:rFonts w:hint="eastAsia" w:eastAsia="楷体" w:cs="Times New Roman"/>
          <w:sz w:val="28"/>
          <w:szCs w:val="21"/>
        </w:rPr>
        <w:t>证券公司期权经纪业务信息系统技术就绪工作检查</w:t>
      </w:r>
      <w:bookmarkEnd w:id="571"/>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87"/>
        <w:gridCol w:w="807"/>
        <w:gridCol w:w="2399"/>
        <w:gridCol w:w="1074"/>
        <w:gridCol w:w="2145"/>
        <w:gridCol w:w="1074"/>
        <w:gridCol w:w="807"/>
        <w:gridCol w:w="671"/>
      </w:tblGrid>
      <w:tr w14:paraId="0F42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1087" w:type="dxa"/>
            <w:vMerge w:val="restart"/>
            <w:vAlign w:val="center"/>
          </w:tcPr>
          <w:p w14:paraId="29F157F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807" w:type="dxa"/>
            <w:vMerge w:val="restart"/>
            <w:vAlign w:val="center"/>
          </w:tcPr>
          <w:p w14:paraId="2AC82F2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399" w:type="dxa"/>
            <w:vMerge w:val="restart"/>
            <w:vAlign w:val="center"/>
          </w:tcPr>
          <w:p w14:paraId="5CC5497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74" w:type="dxa"/>
            <w:vMerge w:val="restart"/>
            <w:vAlign w:val="center"/>
          </w:tcPr>
          <w:p w14:paraId="179FA4A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145" w:type="dxa"/>
            <w:vMerge w:val="restart"/>
            <w:vAlign w:val="center"/>
          </w:tcPr>
          <w:p w14:paraId="627C9FB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552" w:type="dxa"/>
            <w:gridSpan w:val="3"/>
            <w:vAlign w:val="center"/>
          </w:tcPr>
          <w:p w14:paraId="6209064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51EA0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1087" w:type="dxa"/>
            <w:vMerge w:val="continue"/>
            <w:tcBorders>
              <w:bottom w:val="single" w:color="auto" w:sz="4" w:space="0"/>
            </w:tcBorders>
            <w:vAlign w:val="center"/>
          </w:tcPr>
          <w:p w14:paraId="0BC7D724">
            <w:pPr>
              <w:widowControl w:val="0"/>
              <w:snapToGrid w:val="0"/>
              <w:spacing w:line="240" w:lineRule="auto"/>
              <w:ind w:firstLine="0" w:firstLineChars="0"/>
              <w:jc w:val="center"/>
              <w:rPr>
                <w:rFonts w:eastAsia="仿宋" w:cs="Times New Roman"/>
                <w:b/>
                <w:sz w:val="24"/>
                <w:szCs w:val="28"/>
              </w:rPr>
            </w:pPr>
          </w:p>
        </w:tc>
        <w:tc>
          <w:tcPr>
            <w:tcW w:w="807" w:type="dxa"/>
            <w:vMerge w:val="continue"/>
            <w:tcBorders>
              <w:bottom w:val="single" w:color="auto" w:sz="4" w:space="0"/>
            </w:tcBorders>
            <w:vAlign w:val="center"/>
          </w:tcPr>
          <w:p w14:paraId="0C9526BF">
            <w:pPr>
              <w:widowControl w:val="0"/>
              <w:snapToGrid w:val="0"/>
              <w:spacing w:line="240" w:lineRule="auto"/>
              <w:ind w:firstLine="0" w:firstLineChars="0"/>
              <w:jc w:val="center"/>
              <w:rPr>
                <w:rFonts w:eastAsia="仿宋" w:cs="Times New Roman"/>
                <w:b/>
                <w:sz w:val="24"/>
                <w:szCs w:val="28"/>
              </w:rPr>
            </w:pPr>
          </w:p>
        </w:tc>
        <w:tc>
          <w:tcPr>
            <w:tcW w:w="2399" w:type="dxa"/>
            <w:vMerge w:val="continue"/>
            <w:tcBorders>
              <w:bottom w:val="single" w:color="auto" w:sz="4" w:space="0"/>
            </w:tcBorders>
            <w:vAlign w:val="center"/>
          </w:tcPr>
          <w:p w14:paraId="50FC165F">
            <w:pPr>
              <w:widowControl w:val="0"/>
              <w:snapToGrid w:val="0"/>
              <w:spacing w:line="240" w:lineRule="auto"/>
              <w:ind w:firstLine="0" w:firstLineChars="0"/>
              <w:jc w:val="center"/>
              <w:rPr>
                <w:rFonts w:eastAsia="仿宋" w:cs="Times New Roman"/>
                <w:b/>
                <w:sz w:val="24"/>
                <w:szCs w:val="28"/>
              </w:rPr>
            </w:pPr>
          </w:p>
        </w:tc>
        <w:tc>
          <w:tcPr>
            <w:tcW w:w="1074" w:type="dxa"/>
            <w:vMerge w:val="continue"/>
            <w:tcBorders>
              <w:bottom w:val="single" w:color="auto" w:sz="4" w:space="0"/>
            </w:tcBorders>
            <w:vAlign w:val="center"/>
          </w:tcPr>
          <w:p w14:paraId="71F3220F">
            <w:pPr>
              <w:widowControl w:val="0"/>
              <w:snapToGrid w:val="0"/>
              <w:spacing w:line="240" w:lineRule="auto"/>
              <w:ind w:firstLine="0" w:firstLineChars="0"/>
              <w:jc w:val="center"/>
              <w:rPr>
                <w:rFonts w:eastAsia="仿宋" w:cs="Times New Roman"/>
                <w:b/>
                <w:sz w:val="24"/>
                <w:szCs w:val="28"/>
              </w:rPr>
            </w:pPr>
          </w:p>
        </w:tc>
        <w:tc>
          <w:tcPr>
            <w:tcW w:w="2145" w:type="dxa"/>
            <w:vMerge w:val="continue"/>
            <w:tcBorders>
              <w:bottom w:val="single" w:color="auto" w:sz="4" w:space="0"/>
            </w:tcBorders>
            <w:vAlign w:val="center"/>
          </w:tcPr>
          <w:p w14:paraId="176E9AB4">
            <w:pPr>
              <w:widowControl w:val="0"/>
              <w:snapToGrid w:val="0"/>
              <w:spacing w:line="240" w:lineRule="auto"/>
              <w:ind w:firstLine="0" w:firstLineChars="0"/>
              <w:jc w:val="center"/>
              <w:rPr>
                <w:rFonts w:eastAsia="仿宋" w:cs="Times New Roman"/>
                <w:b/>
                <w:sz w:val="24"/>
                <w:szCs w:val="28"/>
              </w:rPr>
            </w:pPr>
          </w:p>
        </w:tc>
        <w:tc>
          <w:tcPr>
            <w:tcW w:w="1074" w:type="dxa"/>
            <w:tcBorders>
              <w:bottom w:val="single" w:color="auto" w:sz="4" w:space="0"/>
            </w:tcBorders>
            <w:vAlign w:val="center"/>
          </w:tcPr>
          <w:p w14:paraId="0931AB9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807" w:type="dxa"/>
            <w:tcBorders>
              <w:bottom w:val="single" w:color="auto" w:sz="4" w:space="0"/>
            </w:tcBorders>
            <w:vAlign w:val="center"/>
          </w:tcPr>
          <w:p w14:paraId="5191265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发现的问题</w:t>
            </w:r>
          </w:p>
        </w:tc>
        <w:tc>
          <w:tcPr>
            <w:tcW w:w="671" w:type="dxa"/>
            <w:tcBorders>
              <w:bottom w:val="single" w:color="auto" w:sz="4" w:space="0"/>
            </w:tcBorders>
            <w:vAlign w:val="center"/>
          </w:tcPr>
          <w:p w14:paraId="4878809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整改计划</w:t>
            </w:r>
          </w:p>
        </w:tc>
      </w:tr>
      <w:tr w14:paraId="2BF6B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tcBorders>
              <w:top w:val="single" w:color="auto" w:sz="4" w:space="0"/>
              <w:left w:val="single" w:color="auto" w:sz="4" w:space="0"/>
              <w:bottom w:val="single" w:color="auto" w:sz="4" w:space="0"/>
              <w:right w:val="single" w:color="auto" w:sz="4" w:space="0"/>
            </w:tcBorders>
            <w:vAlign w:val="center"/>
          </w:tcPr>
          <w:p w14:paraId="1A5158A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系统建设规划</w:t>
            </w:r>
          </w:p>
        </w:tc>
        <w:tc>
          <w:tcPr>
            <w:tcW w:w="807" w:type="dxa"/>
            <w:tcBorders>
              <w:top w:val="single" w:color="auto" w:sz="4" w:space="0"/>
              <w:left w:val="single" w:color="auto" w:sz="4" w:space="0"/>
              <w:bottom w:val="single" w:color="auto" w:sz="4" w:space="0"/>
              <w:right w:val="single" w:color="auto" w:sz="4" w:space="0"/>
            </w:tcBorders>
            <w:vAlign w:val="center"/>
          </w:tcPr>
          <w:p w14:paraId="3DC37EA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2399" w:type="dxa"/>
            <w:tcBorders>
              <w:top w:val="single" w:color="auto" w:sz="4" w:space="0"/>
              <w:left w:val="single" w:color="auto" w:sz="4" w:space="0"/>
              <w:bottom w:val="single" w:color="auto" w:sz="4" w:space="0"/>
              <w:right w:val="single" w:color="auto" w:sz="4" w:space="0"/>
            </w:tcBorders>
            <w:vAlign w:val="center"/>
          </w:tcPr>
          <w:p w14:paraId="0FDD86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系统建设方案（明确系统建设原则、目标、接口、各功能模块的关系）</w:t>
            </w:r>
          </w:p>
        </w:tc>
        <w:tc>
          <w:tcPr>
            <w:tcW w:w="1074" w:type="dxa"/>
            <w:tcBorders>
              <w:top w:val="single" w:color="auto" w:sz="4" w:space="0"/>
              <w:left w:val="single" w:color="auto" w:sz="4" w:space="0"/>
              <w:bottom w:val="single" w:color="auto" w:sz="4" w:space="0"/>
              <w:right w:val="single" w:color="auto" w:sz="4" w:space="0"/>
            </w:tcBorders>
            <w:vAlign w:val="center"/>
          </w:tcPr>
          <w:p w14:paraId="40718C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5F2997A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59AC7F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9B348E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7E01E35E">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297C9897">
            <w:pPr>
              <w:widowControl w:val="0"/>
              <w:snapToGrid w:val="0"/>
              <w:spacing w:line="240" w:lineRule="auto"/>
              <w:ind w:firstLine="0" w:firstLineChars="0"/>
              <w:rPr>
                <w:rFonts w:eastAsia="仿宋" w:cs="Times New Roman"/>
                <w:sz w:val="24"/>
                <w:szCs w:val="28"/>
              </w:rPr>
            </w:pPr>
          </w:p>
        </w:tc>
      </w:tr>
      <w:tr w14:paraId="2D0A1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3265E602">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0A35B6AB">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2399" w:type="dxa"/>
            <w:tcBorders>
              <w:top w:val="single" w:color="auto" w:sz="4" w:space="0"/>
              <w:left w:val="single" w:color="auto" w:sz="4" w:space="0"/>
              <w:bottom w:val="single" w:color="auto" w:sz="4" w:space="0"/>
              <w:right w:val="single" w:color="auto" w:sz="4" w:space="0"/>
            </w:tcBorders>
            <w:vAlign w:val="center"/>
          </w:tcPr>
          <w:p w14:paraId="49AD6C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系统建设计划</w:t>
            </w:r>
          </w:p>
        </w:tc>
        <w:tc>
          <w:tcPr>
            <w:tcW w:w="1074" w:type="dxa"/>
            <w:tcBorders>
              <w:top w:val="single" w:color="auto" w:sz="4" w:space="0"/>
              <w:left w:val="single" w:color="auto" w:sz="4" w:space="0"/>
              <w:bottom w:val="single" w:color="auto" w:sz="4" w:space="0"/>
              <w:right w:val="single" w:color="auto" w:sz="4" w:space="0"/>
            </w:tcBorders>
            <w:vAlign w:val="center"/>
          </w:tcPr>
          <w:p w14:paraId="1D30F4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7A26D0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3E0A9E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86BEC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1F645E9A">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688E1009">
            <w:pPr>
              <w:widowControl w:val="0"/>
              <w:snapToGrid w:val="0"/>
              <w:spacing w:line="240" w:lineRule="auto"/>
              <w:ind w:firstLine="0" w:firstLineChars="0"/>
              <w:rPr>
                <w:rFonts w:eastAsia="仿宋" w:cs="Times New Roman"/>
                <w:sz w:val="24"/>
                <w:szCs w:val="28"/>
              </w:rPr>
            </w:pPr>
          </w:p>
        </w:tc>
      </w:tr>
      <w:tr w14:paraId="0BEEC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7833CC27">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762BFC6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2399" w:type="dxa"/>
            <w:tcBorders>
              <w:top w:val="single" w:color="auto" w:sz="4" w:space="0"/>
              <w:left w:val="single" w:color="auto" w:sz="4" w:space="0"/>
              <w:bottom w:val="single" w:color="auto" w:sz="4" w:space="0"/>
              <w:right w:val="single" w:color="auto" w:sz="4" w:space="0"/>
            </w:tcBorders>
            <w:vAlign w:val="center"/>
          </w:tcPr>
          <w:p w14:paraId="107E44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系统建设交付物（包括需求文档、技术方案、测试案例、用户手册等）</w:t>
            </w:r>
          </w:p>
        </w:tc>
        <w:tc>
          <w:tcPr>
            <w:tcW w:w="1074" w:type="dxa"/>
            <w:tcBorders>
              <w:top w:val="single" w:color="auto" w:sz="4" w:space="0"/>
              <w:left w:val="single" w:color="auto" w:sz="4" w:space="0"/>
              <w:bottom w:val="single" w:color="auto" w:sz="4" w:space="0"/>
              <w:right w:val="single" w:color="auto" w:sz="4" w:space="0"/>
            </w:tcBorders>
            <w:vAlign w:val="center"/>
          </w:tcPr>
          <w:p w14:paraId="571690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17B572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270218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660EA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1F1FC33C">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20919430">
            <w:pPr>
              <w:widowControl w:val="0"/>
              <w:snapToGrid w:val="0"/>
              <w:spacing w:line="240" w:lineRule="auto"/>
              <w:ind w:firstLine="0" w:firstLineChars="0"/>
              <w:rPr>
                <w:rFonts w:eastAsia="仿宋" w:cs="Times New Roman"/>
                <w:sz w:val="24"/>
                <w:szCs w:val="28"/>
              </w:rPr>
            </w:pPr>
          </w:p>
        </w:tc>
      </w:tr>
      <w:tr w14:paraId="23875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tcBorders>
              <w:top w:val="single" w:color="auto" w:sz="4" w:space="0"/>
              <w:left w:val="single" w:color="auto" w:sz="4" w:space="0"/>
              <w:bottom w:val="single" w:color="auto" w:sz="4" w:space="0"/>
              <w:right w:val="single" w:color="auto" w:sz="4" w:space="0"/>
            </w:tcBorders>
            <w:vAlign w:val="center"/>
          </w:tcPr>
          <w:p w14:paraId="61A9FE7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系统上线部署</w:t>
            </w:r>
          </w:p>
          <w:p w14:paraId="51936535">
            <w:pPr>
              <w:widowControl w:val="0"/>
              <w:snapToGrid w:val="0"/>
              <w:spacing w:line="240" w:lineRule="auto"/>
              <w:ind w:firstLine="0" w:firstLineChars="0"/>
              <w:jc w:val="center"/>
              <w:rPr>
                <w:rFonts w:eastAsia="仿宋" w:cs="Times New Roman"/>
                <w:b/>
                <w:sz w:val="24"/>
                <w:szCs w:val="28"/>
              </w:rPr>
            </w:pPr>
          </w:p>
          <w:p w14:paraId="1E9E7D85">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414213E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2399" w:type="dxa"/>
            <w:tcBorders>
              <w:top w:val="single" w:color="auto" w:sz="4" w:space="0"/>
              <w:left w:val="single" w:color="auto" w:sz="4" w:space="0"/>
              <w:bottom w:val="single" w:color="auto" w:sz="4" w:space="0"/>
              <w:right w:val="single" w:color="auto" w:sz="4" w:space="0"/>
            </w:tcBorders>
            <w:vAlign w:val="center"/>
          </w:tcPr>
          <w:p w14:paraId="1F038F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测试是否完整（包括系统功能测试、性能测试、上交所相关系统接入测试及相关结论）</w:t>
            </w:r>
          </w:p>
        </w:tc>
        <w:tc>
          <w:tcPr>
            <w:tcW w:w="1074" w:type="dxa"/>
            <w:tcBorders>
              <w:top w:val="single" w:color="auto" w:sz="4" w:space="0"/>
              <w:left w:val="single" w:color="auto" w:sz="4" w:space="0"/>
              <w:bottom w:val="single" w:color="auto" w:sz="4" w:space="0"/>
              <w:right w:val="single" w:color="auto" w:sz="4" w:space="0"/>
            </w:tcBorders>
            <w:vAlign w:val="center"/>
          </w:tcPr>
          <w:p w14:paraId="66AA5B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检查测试报告</w:t>
            </w:r>
          </w:p>
        </w:tc>
        <w:tc>
          <w:tcPr>
            <w:tcW w:w="2145" w:type="dxa"/>
            <w:tcBorders>
              <w:top w:val="single" w:color="auto" w:sz="4" w:space="0"/>
              <w:left w:val="single" w:color="auto" w:sz="4" w:space="0"/>
              <w:bottom w:val="single" w:color="auto" w:sz="4" w:space="0"/>
              <w:right w:val="single" w:color="auto" w:sz="4" w:space="0"/>
            </w:tcBorders>
            <w:vAlign w:val="center"/>
          </w:tcPr>
          <w:p w14:paraId="309542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《上海证券交易所会员交易及相关系统管理实施细则》《上海证券交易所会员交易及相关系统接入与应用指引》</w:t>
            </w:r>
          </w:p>
        </w:tc>
        <w:tc>
          <w:tcPr>
            <w:tcW w:w="1074" w:type="dxa"/>
            <w:tcBorders>
              <w:top w:val="single" w:color="auto" w:sz="4" w:space="0"/>
              <w:left w:val="single" w:color="auto" w:sz="4" w:space="0"/>
              <w:bottom w:val="single" w:color="auto" w:sz="4" w:space="0"/>
              <w:right w:val="single" w:color="auto" w:sz="4" w:space="0"/>
            </w:tcBorders>
            <w:vAlign w:val="center"/>
          </w:tcPr>
          <w:p w14:paraId="691D6E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922E9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3B6598EA">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43A81DAD">
            <w:pPr>
              <w:widowControl w:val="0"/>
              <w:snapToGrid w:val="0"/>
              <w:spacing w:line="240" w:lineRule="auto"/>
              <w:ind w:firstLine="0" w:firstLineChars="0"/>
              <w:rPr>
                <w:rFonts w:eastAsia="仿宋" w:cs="Times New Roman"/>
                <w:sz w:val="24"/>
                <w:szCs w:val="28"/>
              </w:rPr>
            </w:pPr>
          </w:p>
        </w:tc>
      </w:tr>
      <w:tr w14:paraId="685A3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1A7E93CD">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04F8D3D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2399" w:type="dxa"/>
            <w:tcBorders>
              <w:top w:val="single" w:color="auto" w:sz="4" w:space="0"/>
              <w:left w:val="single" w:color="auto" w:sz="4" w:space="0"/>
              <w:bottom w:val="single" w:color="auto" w:sz="4" w:space="0"/>
              <w:right w:val="single" w:color="auto" w:sz="4" w:space="0"/>
            </w:tcBorders>
            <w:vAlign w:val="center"/>
          </w:tcPr>
          <w:p w14:paraId="58E404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配置管理是否规范（包括上线审批流程、过程文档、软件清单、网络拓扑等）</w:t>
            </w:r>
          </w:p>
        </w:tc>
        <w:tc>
          <w:tcPr>
            <w:tcW w:w="1074" w:type="dxa"/>
            <w:tcBorders>
              <w:top w:val="single" w:color="auto" w:sz="4" w:space="0"/>
              <w:left w:val="single" w:color="auto" w:sz="4" w:space="0"/>
              <w:bottom w:val="single" w:color="auto" w:sz="4" w:space="0"/>
              <w:right w:val="single" w:color="auto" w:sz="4" w:space="0"/>
            </w:tcBorders>
            <w:vAlign w:val="center"/>
          </w:tcPr>
          <w:p w14:paraId="3E898B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检查配置清单、审批流程等文档、访谈</w:t>
            </w:r>
          </w:p>
        </w:tc>
        <w:tc>
          <w:tcPr>
            <w:tcW w:w="2145" w:type="dxa"/>
            <w:tcBorders>
              <w:top w:val="single" w:color="auto" w:sz="4" w:space="0"/>
              <w:left w:val="single" w:color="auto" w:sz="4" w:space="0"/>
              <w:bottom w:val="single" w:color="auto" w:sz="4" w:space="0"/>
              <w:right w:val="single" w:color="auto" w:sz="4" w:space="0"/>
            </w:tcBorders>
            <w:vAlign w:val="center"/>
          </w:tcPr>
          <w:p w14:paraId="3DB3F4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3BC264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B96D6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54BD13D4">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74AE936A">
            <w:pPr>
              <w:widowControl w:val="0"/>
              <w:snapToGrid w:val="0"/>
              <w:spacing w:line="240" w:lineRule="auto"/>
              <w:ind w:firstLine="0" w:firstLineChars="0"/>
              <w:rPr>
                <w:rFonts w:eastAsia="仿宋" w:cs="Times New Roman"/>
                <w:sz w:val="24"/>
                <w:szCs w:val="28"/>
              </w:rPr>
            </w:pPr>
          </w:p>
        </w:tc>
      </w:tr>
      <w:tr w14:paraId="0FA7E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68DC331B">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62A1857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2399" w:type="dxa"/>
            <w:tcBorders>
              <w:top w:val="single" w:color="auto" w:sz="4" w:space="0"/>
              <w:left w:val="single" w:color="auto" w:sz="4" w:space="0"/>
              <w:bottom w:val="single" w:color="auto" w:sz="4" w:space="0"/>
              <w:right w:val="single" w:color="auto" w:sz="4" w:space="0"/>
            </w:tcBorders>
            <w:vAlign w:val="center"/>
          </w:tcPr>
          <w:p w14:paraId="698963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系统隔离是否规范（是否满足期权系统与现货系统的隔离等）</w:t>
            </w:r>
          </w:p>
        </w:tc>
        <w:tc>
          <w:tcPr>
            <w:tcW w:w="1074" w:type="dxa"/>
            <w:tcBorders>
              <w:top w:val="single" w:color="auto" w:sz="4" w:space="0"/>
              <w:left w:val="single" w:color="auto" w:sz="4" w:space="0"/>
              <w:bottom w:val="single" w:color="auto" w:sz="4" w:space="0"/>
              <w:right w:val="single" w:color="auto" w:sz="4" w:space="0"/>
            </w:tcBorders>
            <w:vAlign w:val="center"/>
          </w:tcPr>
          <w:p w14:paraId="56AE53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查阅配置清单、访谈</w:t>
            </w:r>
          </w:p>
        </w:tc>
        <w:tc>
          <w:tcPr>
            <w:tcW w:w="2145" w:type="dxa"/>
            <w:tcBorders>
              <w:top w:val="single" w:color="auto" w:sz="4" w:space="0"/>
              <w:left w:val="single" w:color="auto" w:sz="4" w:space="0"/>
              <w:bottom w:val="single" w:color="auto" w:sz="4" w:space="0"/>
              <w:right w:val="single" w:color="auto" w:sz="4" w:space="0"/>
            </w:tcBorders>
            <w:vAlign w:val="center"/>
          </w:tcPr>
          <w:p w14:paraId="78B3BD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《上交所期权全真模拟交易业务方案》《上海证券交易所会员交易及相关系统管理实施细则》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228B43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3A3F4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53F5B752">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1486BA5B">
            <w:pPr>
              <w:widowControl w:val="0"/>
              <w:snapToGrid w:val="0"/>
              <w:spacing w:line="240" w:lineRule="auto"/>
              <w:ind w:firstLine="0" w:firstLineChars="0"/>
              <w:rPr>
                <w:rFonts w:eastAsia="仿宋" w:cs="Times New Roman"/>
                <w:sz w:val="24"/>
                <w:szCs w:val="28"/>
              </w:rPr>
            </w:pPr>
          </w:p>
        </w:tc>
      </w:tr>
      <w:tr w14:paraId="300E6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tcBorders>
            <w:vAlign w:val="center"/>
          </w:tcPr>
          <w:p w14:paraId="378801D5">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tcBorders>
            <w:vAlign w:val="center"/>
          </w:tcPr>
          <w:p w14:paraId="77BB07C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399" w:type="dxa"/>
            <w:tcBorders>
              <w:top w:val="single" w:color="auto" w:sz="4" w:space="0"/>
            </w:tcBorders>
            <w:vAlign w:val="center"/>
          </w:tcPr>
          <w:p w14:paraId="5D25DD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权限管理是否规范（包括权限分配制度、权限分配清单，操作复核、前后台、操作与风控稽查等岗位分离情况）</w:t>
            </w:r>
          </w:p>
        </w:tc>
        <w:tc>
          <w:tcPr>
            <w:tcW w:w="1074" w:type="dxa"/>
            <w:tcBorders>
              <w:top w:val="single" w:color="auto" w:sz="4" w:space="0"/>
            </w:tcBorders>
            <w:vAlign w:val="center"/>
          </w:tcPr>
          <w:p w14:paraId="10B5BF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查阅系统权限分配表与应用权限分配表、人员职责清单、访谈</w:t>
            </w:r>
          </w:p>
        </w:tc>
        <w:tc>
          <w:tcPr>
            <w:tcW w:w="2145" w:type="dxa"/>
            <w:tcBorders>
              <w:top w:val="single" w:color="auto" w:sz="4" w:space="0"/>
            </w:tcBorders>
            <w:vAlign w:val="center"/>
          </w:tcPr>
          <w:p w14:paraId="2780EE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《证券期货业信息系统安全等级保护基本要求》、《证券期货行业信息系统运维管理规范》</w:t>
            </w:r>
          </w:p>
        </w:tc>
        <w:tc>
          <w:tcPr>
            <w:tcW w:w="1074" w:type="dxa"/>
            <w:tcBorders>
              <w:top w:val="single" w:color="auto" w:sz="4" w:space="0"/>
            </w:tcBorders>
            <w:vAlign w:val="center"/>
          </w:tcPr>
          <w:p w14:paraId="185D37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B15D1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tcBorders>
            <w:vAlign w:val="center"/>
          </w:tcPr>
          <w:p w14:paraId="1F02C090">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tcBorders>
            <w:vAlign w:val="center"/>
          </w:tcPr>
          <w:p w14:paraId="47A2150D">
            <w:pPr>
              <w:widowControl w:val="0"/>
              <w:snapToGrid w:val="0"/>
              <w:spacing w:line="240" w:lineRule="auto"/>
              <w:ind w:firstLine="0" w:firstLineChars="0"/>
              <w:rPr>
                <w:rFonts w:eastAsia="仿宋" w:cs="Times New Roman"/>
                <w:sz w:val="24"/>
                <w:szCs w:val="28"/>
              </w:rPr>
            </w:pPr>
          </w:p>
        </w:tc>
      </w:tr>
      <w:tr w14:paraId="5EEF1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34320320">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7DAEA66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399" w:type="dxa"/>
            <w:vAlign w:val="center"/>
          </w:tcPr>
          <w:p w14:paraId="3033D8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是否网络、主机、应用、安全等关键环节具备足够冗余，满足业务高峰期需要</w:t>
            </w:r>
          </w:p>
        </w:tc>
        <w:tc>
          <w:tcPr>
            <w:tcW w:w="1074" w:type="dxa"/>
            <w:vAlign w:val="center"/>
          </w:tcPr>
          <w:p w14:paraId="5015C5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抽查部署方案、配置清单和网络拓扑图，抽查实际部署的重要环节</w:t>
            </w:r>
          </w:p>
        </w:tc>
        <w:tc>
          <w:tcPr>
            <w:tcW w:w="2145" w:type="dxa"/>
            <w:vAlign w:val="center"/>
          </w:tcPr>
          <w:p w14:paraId="6E44C6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《证券公司集中交易安全管理技术指引》《上海证券交易所会员交易及相关系统管理实施细则》</w:t>
            </w:r>
          </w:p>
        </w:tc>
        <w:tc>
          <w:tcPr>
            <w:tcW w:w="1074" w:type="dxa"/>
            <w:vAlign w:val="center"/>
          </w:tcPr>
          <w:p w14:paraId="5F78B6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4F8FC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4F055254">
            <w:pPr>
              <w:widowControl w:val="0"/>
              <w:snapToGrid w:val="0"/>
              <w:spacing w:line="240" w:lineRule="auto"/>
              <w:ind w:firstLine="0" w:firstLineChars="0"/>
              <w:rPr>
                <w:rFonts w:eastAsia="仿宋" w:cs="Times New Roman"/>
                <w:sz w:val="24"/>
                <w:szCs w:val="28"/>
              </w:rPr>
            </w:pPr>
          </w:p>
        </w:tc>
        <w:tc>
          <w:tcPr>
            <w:tcW w:w="671" w:type="dxa"/>
            <w:vAlign w:val="center"/>
          </w:tcPr>
          <w:p w14:paraId="1A342EAB">
            <w:pPr>
              <w:widowControl w:val="0"/>
              <w:snapToGrid w:val="0"/>
              <w:spacing w:line="240" w:lineRule="auto"/>
              <w:ind w:firstLine="0" w:firstLineChars="0"/>
              <w:rPr>
                <w:rFonts w:eastAsia="仿宋" w:cs="Times New Roman"/>
                <w:sz w:val="24"/>
                <w:szCs w:val="28"/>
              </w:rPr>
            </w:pPr>
          </w:p>
        </w:tc>
      </w:tr>
      <w:tr w14:paraId="3814A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15E80662">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014997C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399" w:type="dxa"/>
            <w:vAlign w:val="center"/>
          </w:tcPr>
          <w:p w14:paraId="7F4F52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系统上线前是否对运维人员进行了培训，培训内容涵盖期权业务知识、系统架构与功能、运维安全保障、应急备份措施等</w:t>
            </w:r>
          </w:p>
        </w:tc>
        <w:tc>
          <w:tcPr>
            <w:tcW w:w="1074" w:type="dxa"/>
            <w:vAlign w:val="center"/>
          </w:tcPr>
          <w:p w14:paraId="211A09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检查培训计划、培训记录、培训材料等</w:t>
            </w:r>
          </w:p>
        </w:tc>
        <w:tc>
          <w:tcPr>
            <w:tcW w:w="2145" w:type="dxa"/>
            <w:vAlign w:val="center"/>
          </w:tcPr>
          <w:p w14:paraId="7EF89E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《证券公司信息技术管理规范》、《证券期货业信息系统安全等级保护基本要求》、《证券期货业信息系统运维管理规范》</w:t>
            </w:r>
          </w:p>
        </w:tc>
        <w:tc>
          <w:tcPr>
            <w:tcW w:w="1074" w:type="dxa"/>
            <w:vAlign w:val="center"/>
          </w:tcPr>
          <w:p w14:paraId="22E857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682EA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276B3FEA">
            <w:pPr>
              <w:widowControl w:val="0"/>
              <w:snapToGrid w:val="0"/>
              <w:spacing w:line="240" w:lineRule="auto"/>
              <w:ind w:firstLine="0" w:firstLineChars="0"/>
              <w:rPr>
                <w:rFonts w:eastAsia="仿宋" w:cs="Times New Roman"/>
                <w:sz w:val="24"/>
                <w:szCs w:val="28"/>
              </w:rPr>
            </w:pPr>
          </w:p>
        </w:tc>
        <w:tc>
          <w:tcPr>
            <w:tcW w:w="671" w:type="dxa"/>
            <w:vAlign w:val="center"/>
          </w:tcPr>
          <w:p w14:paraId="587FC0CF">
            <w:pPr>
              <w:widowControl w:val="0"/>
              <w:snapToGrid w:val="0"/>
              <w:spacing w:line="240" w:lineRule="auto"/>
              <w:ind w:firstLine="0" w:firstLineChars="0"/>
              <w:rPr>
                <w:rFonts w:eastAsia="仿宋" w:cs="Times New Roman"/>
                <w:sz w:val="24"/>
                <w:szCs w:val="28"/>
              </w:rPr>
            </w:pPr>
          </w:p>
        </w:tc>
      </w:tr>
      <w:tr w14:paraId="06C45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vAlign w:val="center"/>
          </w:tcPr>
          <w:p w14:paraId="0B31684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系统运维管理</w:t>
            </w:r>
          </w:p>
        </w:tc>
        <w:tc>
          <w:tcPr>
            <w:tcW w:w="807" w:type="dxa"/>
            <w:vAlign w:val="center"/>
          </w:tcPr>
          <w:p w14:paraId="017A459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2399" w:type="dxa"/>
            <w:vAlign w:val="center"/>
          </w:tcPr>
          <w:p w14:paraId="4ACB49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应急预案是否完备（包括事件分级、处置步骤、汇报机制、人员联系方式）</w:t>
            </w:r>
          </w:p>
        </w:tc>
        <w:tc>
          <w:tcPr>
            <w:tcW w:w="1074" w:type="dxa"/>
            <w:vAlign w:val="center"/>
          </w:tcPr>
          <w:p w14:paraId="73D569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检查应急预案</w:t>
            </w:r>
          </w:p>
        </w:tc>
        <w:tc>
          <w:tcPr>
            <w:tcW w:w="2145" w:type="dxa"/>
            <w:vAlign w:val="center"/>
          </w:tcPr>
          <w:p w14:paraId="5D30E3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vAlign w:val="center"/>
          </w:tcPr>
          <w:p w14:paraId="37824A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C7C6A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6C08A3EF">
            <w:pPr>
              <w:widowControl w:val="0"/>
              <w:snapToGrid w:val="0"/>
              <w:spacing w:line="240" w:lineRule="auto"/>
              <w:ind w:firstLine="0" w:firstLineChars="0"/>
              <w:rPr>
                <w:rFonts w:eastAsia="仿宋" w:cs="Times New Roman"/>
                <w:sz w:val="24"/>
                <w:szCs w:val="28"/>
              </w:rPr>
            </w:pPr>
          </w:p>
        </w:tc>
        <w:tc>
          <w:tcPr>
            <w:tcW w:w="671" w:type="dxa"/>
            <w:vAlign w:val="center"/>
          </w:tcPr>
          <w:p w14:paraId="2285EC3B">
            <w:pPr>
              <w:widowControl w:val="0"/>
              <w:snapToGrid w:val="0"/>
              <w:spacing w:line="240" w:lineRule="auto"/>
              <w:ind w:firstLine="0" w:firstLineChars="0"/>
              <w:rPr>
                <w:rFonts w:eastAsia="仿宋" w:cs="Times New Roman"/>
                <w:sz w:val="24"/>
                <w:szCs w:val="28"/>
              </w:rPr>
            </w:pPr>
          </w:p>
        </w:tc>
      </w:tr>
      <w:tr w14:paraId="58B67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352B8FEF">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633DA08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11</w:t>
            </w:r>
          </w:p>
        </w:tc>
        <w:tc>
          <w:tcPr>
            <w:tcW w:w="2399" w:type="dxa"/>
            <w:vAlign w:val="center"/>
          </w:tcPr>
          <w:p w14:paraId="4E438F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运维管理是否规范（包括运维制度、运维操作、过程管理等）</w:t>
            </w:r>
          </w:p>
        </w:tc>
        <w:tc>
          <w:tcPr>
            <w:tcW w:w="1074" w:type="dxa"/>
            <w:vAlign w:val="center"/>
          </w:tcPr>
          <w:p w14:paraId="10E591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检查相关制度、流程审批材料及操作记录、访谈</w:t>
            </w:r>
          </w:p>
        </w:tc>
        <w:tc>
          <w:tcPr>
            <w:tcW w:w="2145" w:type="dxa"/>
            <w:vAlign w:val="center"/>
          </w:tcPr>
          <w:p w14:paraId="520007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《上海证券交易所会员交易及相关系统管理实施细则》《证券公司信息技术管理规范》</w:t>
            </w:r>
          </w:p>
        </w:tc>
        <w:tc>
          <w:tcPr>
            <w:tcW w:w="1074" w:type="dxa"/>
            <w:vAlign w:val="center"/>
          </w:tcPr>
          <w:p w14:paraId="6631648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FE9B1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135813B8">
            <w:pPr>
              <w:widowControl w:val="0"/>
              <w:snapToGrid w:val="0"/>
              <w:spacing w:line="240" w:lineRule="auto"/>
              <w:ind w:firstLine="0" w:firstLineChars="0"/>
              <w:rPr>
                <w:rFonts w:eastAsia="仿宋" w:cs="Times New Roman"/>
                <w:sz w:val="24"/>
                <w:szCs w:val="28"/>
              </w:rPr>
            </w:pPr>
          </w:p>
        </w:tc>
        <w:tc>
          <w:tcPr>
            <w:tcW w:w="671" w:type="dxa"/>
            <w:vAlign w:val="center"/>
          </w:tcPr>
          <w:p w14:paraId="34F93D6E">
            <w:pPr>
              <w:widowControl w:val="0"/>
              <w:snapToGrid w:val="0"/>
              <w:spacing w:line="240" w:lineRule="auto"/>
              <w:ind w:firstLine="0" w:firstLineChars="0"/>
              <w:rPr>
                <w:rFonts w:eastAsia="仿宋" w:cs="Times New Roman"/>
                <w:sz w:val="24"/>
                <w:szCs w:val="28"/>
              </w:rPr>
            </w:pPr>
          </w:p>
        </w:tc>
      </w:tr>
      <w:tr w14:paraId="4F640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6B3F9ABF">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022089C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2399" w:type="dxa"/>
            <w:vAlign w:val="center"/>
          </w:tcPr>
          <w:p w14:paraId="35532D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是否为期权业务配备足够运维人员，运维人员主备岗职责是否清晰</w:t>
            </w:r>
          </w:p>
        </w:tc>
        <w:tc>
          <w:tcPr>
            <w:tcW w:w="1074" w:type="dxa"/>
            <w:vAlign w:val="center"/>
          </w:tcPr>
          <w:p w14:paraId="52F432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检查人员职责清单、访谈</w:t>
            </w:r>
          </w:p>
        </w:tc>
        <w:tc>
          <w:tcPr>
            <w:tcW w:w="2145" w:type="dxa"/>
            <w:vAlign w:val="center"/>
          </w:tcPr>
          <w:p w14:paraId="7D48F7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《上海证券交易所会员交易及相关系统管理实施细则》《证券公司信息技术管理规范》</w:t>
            </w:r>
          </w:p>
        </w:tc>
        <w:tc>
          <w:tcPr>
            <w:tcW w:w="1074" w:type="dxa"/>
            <w:vAlign w:val="center"/>
          </w:tcPr>
          <w:p w14:paraId="734636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796476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0B3E3108">
            <w:pPr>
              <w:widowControl w:val="0"/>
              <w:snapToGrid w:val="0"/>
              <w:spacing w:line="240" w:lineRule="auto"/>
              <w:ind w:firstLine="0" w:firstLineChars="0"/>
              <w:rPr>
                <w:rFonts w:eastAsia="仿宋" w:cs="Times New Roman"/>
                <w:sz w:val="24"/>
                <w:szCs w:val="28"/>
              </w:rPr>
            </w:pPr>
          </w:p>
        </w:tc>
        <w:tc>
          <w:tcPr>
            <w:tcW w:w="671" w:type="dxa"/>
            <w:vAlign w:val="center"/>
          </w:tcPr>
          <w:p w14:paraId="6BEBC7FC">
            <w:pPr>
              <w:widowControl w:val="0"/>
              <w:snapToGrid w:val="0"/>
              <w:spacing w:line="240" w:lineRule="auto"/>
              <w:ind w:firstLine="0" w:firstLineChars="0"/>
              <w:rPr>
                <w:rFonts w:eastAsia="仿宋" w:cs="Times New Roman"/>
                <w:sz w:val="24"/>
                <w:szCs w:val="28"/>
              </w:rPr>
            </w:pPr>
          </w:p>
        </w:tc>
      </w:tr>
      <w:tr w14:paraId="1F19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4B157ED3">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12AF542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13</w:t>
            </w:r>
          </w:p>
        </w:tc>
        <w:tc>
          <w:tcPr>
            <w:tcW w:w="2399" w:type="dxa"/>
            <w:vAlign w:val="center"/>
          </w:tcPr>
          <w:p w14:paraId="6B3BF4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是否已建立备份与恢复管理相关的管理制度，对备份信息的备份方式、备份频度、存储介质和保存期等进行规范</w:t>
            </w:r>
          </w:p>
        </w:tc>
        <w:tc>
          <w:tcPr>
            <w:tcW w:w="1074" w:type="dxa"/>
            <w:vAlign w:val="center"/>
          </w:tcPr>
          <w:p w14:paraId="760F2E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检查是否具备备份与恢复管理制度或方案，抽查备份情况</w:t>
            </w:r>
          </w:p>
        </w:tc>
        <w:tc>
          <w:tcPr>
            <w:tcW w:w="2145" w:type="dxa"/>
            <w:vAlign w:val="center"/>
          </w:tcPr>
          <w:p w14:paraId="3F6C6ED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《上海证券交易所会员交易及相关系统管理实施细则》《上海证券交易所会员交易及相关系统接入与应用指引》《证券期货业信息系统安全等级保护基本要求》</w:t>
            </w:r>
          </w:p>
        </w:tc>
        <w:tc>
          <w:tcPr>
            <w:tcW w:w="1074" w:type="dxa"/>
            <w:vAlign w:val="center"/>
          </w:tcPr>
          <w:p w14:paraId="3DE3E7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B2293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2878797C">
            <w:pPr>
              <w:widowControl w:val="0"/>
              <w:snapToGrid w:val="0"/>
              <w:spacing w:line="240" w:lineRule="auto"/>
              <w:ind w:firstLine="0" w:firstLineChars="0"/>
              <w:rPr>
                <w:rFonts w:eastAsia="仿宋" w:cs="Times New Roman"/>
                <w:sz w:val="24"/>
                <w:szCs w:val="28"/>
              </w:rPr>
            </w:pPr>
          </w:p>
        </w:tc>
        <w:tc>
          <w:tcPr>
            <w:tcW w:w="671" w:type="dxa"/>
            <w:vAlign w:val="center"/>
          </w:tcPr>
          <w:p w14:paraId="30D96589">
            <w:pPr>
              <w:widowControl w:val="0"/>
              <w:snapToGrid w:val="0"/>
              <w:spacing w:line="240" w:lineRule="auto"/>
              <w:ind w:firstLine="0" w:firstLineChars="0"/>
              <w:rPr>
                <w:rFonts w:eastAsia="仿宋" w:cs="Times New Roman"/>
                <w:sz w:val="24"/>
                <w:szCs w:val="28"/>
              </w:rPr>
            </w:pPr>
          </w:p>
        </w:tc>
      </w:tr>
      <w:tr w14:paraId="05DF9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1EACAAB4">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611D6B7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14</w:t>
            </w:r>
          </w:p>
        </w:tc>
        <w:tc>
          <w:tcPr>
            <w:tcW w:w="2399" w:type="dxa"/>
            <w:vAlign w:val="center"/>
          </w:tcPr>
          <w:p w14:paraId="40B1B2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建立完善的运行监控系统，对现货和期权系统的运行环境、运行状况进行实时监控，并提供多种报警功能</w:t>
            </w:r>
          </w:p>
        </w:tc>
        <w:tc>
          <w:tcPr>
            <w:tcW w:w="1074" w:type="dxa"/>
            <w:vAlign w:val="center"/>
          </w:tcPr>
          <w:p w14:paraId="7C0BE2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检查是否有监控系统，访谈运维负责人，进行相关演示</w:t>
            </w:r>
          </w:p>
        </w:tc>
        <w:tc>
          <w:tcPr>
            <w:tcW w:w="2145" w:type="dxa"/>
            <w:vAlign w:val="center"/>
          </w:tcPr>
          <w:p w14:paraId="6EEDBC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《证券公司集中交易安全管理技术指引》《上海证券交易所会员交易及相关系统管理实施细则》</w:t>
            </w:r>
          </w:p>
        </w:tc>
        <w:tc>
          <w:tcPr>
            <w:tcW w:w="1074" w:type="dxa"/>
            <w:vAlign w:val="center"/>
          </w:tcPr>
          <w:p w14:paraId="317148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1F3BD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5EC0BEBC">
            <w:pPr>
              <w:widowControl w:val="0"/>
              <w:snapToGrid w:val="0"/>
              <w:spacing w:line="240" w:lineRule="auto"/>
              <w:ind w:firstLine="0" w:firstLineChars="0"/>
              <w:rPr>
                <w:rFonts w:eastAsia="仿宋" w:cs="Times New Roman"/>
                <w:sz w:val="24"/>
                <w:szCs w:val="28"/>
              </w:rPr>
            </w:pPr>
          </w:p>
        </w:tc>
        <w:tc>
          <w:tcPr>
            <w:tcW w:w="671" w:type="dxa"/>
            <w:vAlign w:val="center"/>
          </w:tcPr>
          <w:p w14:paraId="23621C2C">
            <w:pPr>
              <w:widowControl w:val="0"/>
              <w:snapToGrid w:val="0"/>
              <w:spacing w:line="240" w:lineRule="auto"/>
              <w:ind w:firstLine="0" w:firstLineChars="0"/>
              <w:rPr>
                <w:rFonts w:eastAsia="仿宋" w:cs="Times New Roman"/>
                <w:sz w:val="24"/>
                <w:szCs w:val="28"/>
              </w:rPr>
            </w:pPr>
          </w:p>
        </w:tc>
      </w:tr>
    </w:tbl>
    <w:p w14:paraId="6CBF6FF4">
      <w:pPr>
        <w:spacing w:line="400" w:lineRule="exact"/>
        <w:ind w:firstLine="0" w:firstLineChars="0"/>
        <w:jc w:val="left"/>
        <w:rPr>
          <w:rFonts w:cs="Times New Roman"/>
          <w:sz w:val="28"/>
          <w:szCs w:val="21"/>
        </w:rPr>
      </w:pPr>
      <w:bookmarkStart w:id="572" w:name="_Toc57819604"/>
    </w:p>
    <w:p w14:paraId="0736DBAE">
      <w:pPr>
        <w:spacing w:line="400" w:lineRule="exact"/>
        <w:ind w:firstLine="0" w:firstLineChars="0"/>
        <w:jc w:val="left"/>
        <w:rPr>
          <w:rFonts w:cs="Times New Roman"/>
          <w:sz w:val="28"/>
          <w:szCs w:val="21"/>
        </w:rPr>
      </w:pPr>
      <w:r>
        <w:rPr>
          <w:rFonts w:cs="Times New Roman"/>
          <w:sz w:val="28"/>
          <w:szCs w:val="21"/>
        </w:rPr>
        <w:br w:type="page"/>
      </w:r>
    </w:p>
    <w:p w14:paraId="5E965563">
      <w:pPr>
        <w:spacing w:line="400" w:lineRule="exact"/>
        <w:ind w:firstLine="0" w:firstLineChars="0"/>
        <w:jc w:val="center"/>
        <w:rPr>
          <w:rFonts w:eastAsia="楷体" w:cs="Times New Roman"/>
          <w:sz w:val="28"/>
          <w:szCs w:val="21"/>
        </w:rPr>
      </w:pPr>
      <w:r>
        <w:rPr>
          <w:rFonts w:hint="eastAsia" w:eastAsia="楷体" w:cs="Times New Roman"/>
          <w:sz w:val="28"/>
          <w:szCs w:val="21"/>
        </w:rPr>
        <w:t>第四部分</w:t>
      </w:r>
      <w:bookmarkEnd w:id="572"/>
    </w:p>
    <w:p w14:paraId="48569320">
      <w:pPr>
        <w:spacing w:line="400" w:lineRule="exact"/>
        <w:ind w:firstLine="0" w:firstLineChars="0"/>
        <w:jc w:val="center"/>
        <w:rPr>
          <w:rFonts w:eastAsia="楷体" w:cs="Times New Roman"/>
          <w:sz w:val="28"/>
          <w:szCs w:val="21"/>
        </w:rPr>
      </w:pPr>
      <w:bookmarkStart w:id="573" w:name="_Toc57819605"/>
      <w:r>
        <w:rPr>
          <w:rFonts w:hint="eastAsia" w:eastAsia="楷体" w:cs="Times New Roman"/>
          <w:sz w:val="28"/>
          <w:szCs w:val="21"/>
        </w:rPr>
        <w:t>证券公司期权经纪业务投资者</w:t>
      </w:r>
      <w:r>
        <w:rPr>
          <w:rFonts w:eastAsia="楷体" w:cs="Times New Roman"/>
          <w:sz w:val="28"/>
          <w:szCs w:val="21"/>
        </w:rPr>
        <w:t>教育</w:t>
      </w:r>
      <w:r>
        <w:rPr>
          <w:rFonts w:hint="eastAsia" w:eastAsia="楷体" w:cs="Times New Roman"/>
          <w:sz w:val="28"/>
          <w:szCs w:val="21"/>
        </w:rPr>
        <w:t>就绪工作检查</w:t>
      </w:r>
      <w:bookmarkEnd w:id="573"/>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948"/>
        <w:gridCol w:w="578"/>
        <w:gridCol w:w="2165"/>
        <w:gridCol w:w="1011"/>
        <w:gridCol w:w="2454"/>
        <w:gridCol w:w="1011"/>
        <w:gridCol w:w="1010"/>
        <w:gridCol w:w="887"/>
      </w:tblGrid>
      <w:tr w14:paraId="7EEBE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30" w:type="dxa"/>
            <w:vMerge w:val="restart"/>
            <w:vAlign w:val="center"/>
          </w:tcPr>
          <w:p w14:paraId="3C571C8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67" w:type="dxa"/>
            <w:vMerge w:val="restart"/>
            <w:vAlign w:val="center"/>
          </w:tcPr>
          <w:p w14:paraId="74ED273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126" w:type="dxa"/>
            <w:vMerge w:val="restart"/>
            <w:vAlign w:val="center"/>
          </w:tcPr>
          <w:p w14:paraId="4906B5E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993" w:type="dxa"/>
            <w:vMerge w:val="restart"/>
            <w:vAlign w:val="center"/>
          </w:tcPr>
          <w:p w14:paraId="217D7D6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409" w:type="dxa"/>
            <w:vMerge w:val="restart"/>
            <w:vAlign w:val="center"/>
          </w:tcPr>
          <w:p w14:paraId="664045A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856" w:type="dxa"/>
            <w:gridSpan w:val="3"/>
            <w:vAlign w:val="center"/>
          </w:tcPr>
          <w:p w14:paraId="4ABE3B0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6FC94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30" w:type="dxa"/>
            <w:vMerge w:val="continue"/>
            <w:tcBorders>
              <w:bottom w:val="single" w:color="auto" w:sz="4" w:space="0"/>
            </w:tcBorders>
            <w:vAlign w:val="center"/>
          </w:tcPr>
          <w:p w14:paraId="3A285115">
            <w:pPr>
              <w:widowControl w:val="0"/>
              <w:snapToGrid w:val="0"/>
              <w:spacing w:line="240" w:lineRule="auto"/>
              <w:ind w:firstLine="0" w:firstLineChars="0"/>
              <w:jc w:val="center"/>
              <w:rPr>
                <w:rFonts w:eastAsia="仿宋" w:cs="Times New Roman"/>
                <w:b/>
                <w:sz w:val="24"/>
                <w:szCs w:val="28"/>
              </w:rPr>
            </w:pPr>
          </w:p>
        </w:tc>
        <w:tc>
          <w:tcPr>
            <w:tcW w:w="567" w:type="dxa"/>
            <w:vMerge w:val="continue"/>
            <w:tcBorders>
              <w:bottom w:val="single" w:color="auto" w:sz="4" w:space="0"/>
            </w:tcBorders>
            <w:vAlign w:val="center"/>
          </w:tcPr>
          <w:p w14:paraId="37BB5EFB">
            <w:pPr>
              <w:widowControl w:val="0"/>
              <w:snapToGrid w:val="0"/>
              <w:spacing w:line="240" w:lineRule="auto"/>
              <w:ind w:firstLine="0" w:firstLineChars="0"/>
              <w:jc w:val="center"/>
              <w:rPr>
                <w:rFonts w:eastAsia="仿宋" w:cs="Times New Roman"/>
                <w:b/>
                <w:sz w:val="24"/>
                <w:szCs w:val="28"/>
              </w:rPr>
            </w:pPr>
          </w:p>
        </w:tc>
        <w:tc>
          <w:tcPr>
            <w:tcW w:w="2126" w:type="dxa"/>
            <w:vMerge w:val="continue"/>
            <w:tcBorders>
              <w:bottom w:val="single" w:color="auto" w:sz="4" w:space="0"/>
            </w:tcBorders>
            <w:vAlign w:val="center"/>
          </w:tcPr>
          <w:p w14:paraId="2A37A08C">
            <w:pPr>
              <w:widowControl w:val="0"/>
              <w:snapToGrid w:val="0"/>
              <w:spacing w:line="240" w:lineRule="auto"/>
              <w:ind w:firstLine="0" w:firstLineChars="0"/>
              <w:jc w:val="center"/>
              <w:rPr>
                <w:rFonts w:eastAsia="仿宋" w:cs="Times New Roman"/>
                <w:b/>
                <w:sz w:val="24"/>
                <w:szCs w:val="28"/>
              </w:rPr>
            </w:pPr>
          </w:p>
        </w:tc>
        <w:tc>
          <w:tcPr>
            <w:tcW w:w="993" w:type="dxa"/>
            <w:vMerge w:val="continue"/>
            <w:tcBorders>
              <w:bottom w:val="single" w:color="auto" w:sz="4" w:space="0"/>
            </w:tcBorders>
            <w:vAlign w:val="center"/>
          </w:tcPr>
          <w:p w14:paraId="3316DAC6">
            <w:pPr>
              <w:widowControl w:val="0"/>
              <w:snapToGrid w:val="0"/>
              <w:spacing w:line="240" w:lineRule="auto"/>
              <w:ind w:firstLine="0" w:firstLineChars="0"/>
              <w:jc w:val="center"/>
              <w:rPr>
                <w:rFonts w:eastAsia="仿宋" w:cs="Times New Roman"/>
                <w:b/>
                <w:sz w:val="24"/>
                <w:szCs w:val="28"/>
              </w:rPr>
            </w:pPr>
          </w:p>
        </w:tc>
        <w:tc>
          <w:tcPr>
            <w:tcW w:w="2409" w:type="dxa"/>
            <w:vMerge w:val="continue"/>
            <w:tcBorders>
              <w:bottom w:val="single" w:color="auto" w:sz="4" w:space="0"/>
            </w:tcBorders>
            <w:vAlign w:val="center"/>
          </w:tcPr>
          <w:p w14:paraId="0ED3B573">
            <w:pPr>
              <w:widowControl w:val="0"/>
              <w:snapToGrid w:val="0"/>
              <w:spacing w:line="240" w:lineRule="auto"/>
              <w:ind w:firstLine="0" w:firstLineChars="0"/>
              <w:jc w:val="center"/>
              <w:rPr>
                <w:rFonts w:eastAsia="仿宋" w:cs="Times New Roman"/>
                <w:b/>
                <w:sz w:val="24"/>
                <w:szCs w:val="28"/>
              </w:rPr>
            </w:pPr>
          </w:p>
        </w:tc>
        <w:tc>
          <w:tcPr>
            <w:tcW w:w="993" w:type="dxa"/>
            <w:tcBorders>
              <w:bottom w:val="single" w:color="auto" w:sz="4" w:space="0"/>
            </w:tcBorders>
            <w:vAlign w:val="center"/>
          </w:tcPr>
          <w:p w14:paraId="6AE4B63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992" w:type="dxa"/>
            <w:tcBorders>
              <w:bottom w:val="single" w:color="auto" w:sz="4" w:space="0"/>
            </w:tcBorders>
            <w:vAlign w:val="center"/>
          </w:tcPr>
          <w:p w14:paraId="633074F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是否通过</w:t>
            </w:r>
          </w:p>
        </w:tc>
        <w:tc>
          <w:tcPr>
            <w:tcW w:w="871" w:type="dxa"/>
            <w:tcBorders>
              <w:bottom w:val="single" w:color="auto" w:sz="4" w:space="0"/>
            </w:tcBorders>
            <w:vAlign w:val="center"/>
          </w:tcPr>
          <w:p w14:paraId="5503045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63D2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restart"/>
            <w:tcBorders>
              <w:top w:val="single" w:color="auto" w:sz="4" w:space="0"/>
              <w:left w:val="single" w:color="auto" w:sz="4" w:space="0"/>
              <w:bottom w:val="single" w:color="auto" w:sz="4" w:space="0"/>
              <w:right w:val="single" w:color="auto" w:sz="4" w:space="0"/>
            </w:tcBorders>
            <w:vAlign w:val="center"/>
          </w:tcPr>
          <w:p w14:paraId="17627C1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投资者适当性管理制度、流程</w:t>
            </w:r>
          </w:p>
        </w:tc>
        <w:tc>
          <w:tcPr>
            <w:tcW w:w="567" w:type="dxa"/>
            <w:tcBorders>
              <w:top w:val="single" w:color="auto" w:sz="4" w:space="0"/>
              <w:left w:val="single" w:color="auto" w:sz="4" w:space="0"/>
              <w:bottom w:val="single" w:color="auto" w:sz="4" w:space="0"/>
              <w:right w:val="single" w:color="auto" w:sz="4" w:space="0"/>
            </w:tcBorders>
            <w:vAlign w:val="center"/>
          </w:tcPr>
          <w:p w14:paraId="383E662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w:t>
            </w:r>
          </w:p>
        </w:tc>
        <w:tc>
          <w:tcPr>
            <w:tcW w:w="2126" w:type="dxa"/>
            <w:tcBorders>
              <w:top w:val="single" w:color="auto" w:sz="4" w:space="0"/>
              <w:left w:val="single" w:color="auto" w:sz="4" w:space="0"/>
              <w:bottom w:val="single" w:color="auto" w:sz="4" w:space="0"/>
              <w:right w:val="single" w:color="auto" w:sz="4" w:space="0"/>
            </w:tcBorders>
            <w:vAlign w:val="center"/>
          </w:tcPr>
          <w:p w14:paraId="4CE2A9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建立投资者适当性综合评估体系和流程</w:t>
            </w:r>
          </w:p>
        </w:tc>
        <w:tc>
          <w:tcPr>
            <w:tcW w:w="993" w:type="dxa"/>
            <w:tcBorders>
              <w:top w:val="single" w:color="auto" w:sz="4" w:space="0"/>
              <w:left w:val="single" w:color="auto" w:sz="4" w:space="0"/>
              <w:bottom w:val="single" w:color="auto" w:sz="4" w:space="0"/>
              <w:right w:val="single" w:color="auto" w:sz="4" w:space="0"/>
            </w:tcBorders>
            <w:vAlign w:val="center"/>
          </w:tcPr>
          <w:p w14:paraId="2E8FAB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409" w:type="dxa"/>
            <w:tcBorders>
              <w:top w:val="single" w:color="auto" w:sz="4" w:space="0"/>
              <w:left w:val="single" w:color="auto" w:sz="4" w:space="0"/>
              <w:bottom w:val="single" w:color="auto" w:sz="4" w:space="0"/>
              <w:right w:val="single" w:color="auto" w:sz="4" w:space="0"/>
            </w:tcBorders>
            <w:vAlign w:val="center"/>
          </w:tcPr>
          <w:p w14:paraId="58AB15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366A13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E8127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5BD4D2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E9209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139204E3">
            <w:pPr>
              <w:widowControl w:val="0"/>
              <w:snapToGrid w:val="0"/>
              <w:spacing w:line="240" w:lineRule="auto"/>
              <w:ind w:firstLine="0" w:firstLineChars="0"/>
              <w:rPr>
                <w:rFonts w:eastAsia="仿宋" w:cs="Times New Roman"/>
                <w:sz w:val="24"/>
                <w:szCs w:val="28"/>
              </w:rPr>
            </w:pPr>
          </w:p>
        </w:tc>
      </w:tr>
      <w:tr w14:paraId="1520C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top w:val="single" w:color="auto" w:sz="4" w:space="0"/>
              <w:left w:val="single" w:color="auto" w:sz="4" w:space="0"/>
              <w:bottom w:val="single" w:color="auto" w:sz="4" w:space="0"/>
              <w:right w:val="single" w:color="auto" w:sz="4" w:space="0"/>
            </w:tcBorders>
            <w:vAlign w:val="center"/>
          </w:tcPr>
          <w:p w14:paraId="1128EB83">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right w:val="single" w:color="auto" w:sz="4" w:space="0"/>
            </w:tcBorders>
            <w:vAlign w:val="center"/>
          </w:tcPr>
          <w:p w14:paraId="69DFA9C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w:t>
            </w:r>
          </w:p>
        </w:tc>
        <w:tc>
          <w:tcPr>
            <w:tcW w:w="2126" w:type="dxa"/>
            <w:tcBorders>
              <w:top w:val="single" w:color="auto" w:sz="4" w:space="0"/>
              <w:left w:val="single" w:color="auto" w:sz="4" w:space="0"/>
              <w:bottom w:val="single" w:color="auto" w:sz="4" w:space="0"/>
              <w:right w:val="single" w:color="auto" w:sz="4" w:space="0"/>
            </w:tcBorders>
            <w:vAlign w:val="center"/>
          </w:tcPr>
          <w:p w14:paraId="4481F3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建立有关投资者分级的流程与管理制度</w:t>
            </w:r>
          </w:p>
        </w:tc>
        <w:tc>
          <w:tcPr>
            <w:tcW w:w="993" w:type="dxa"/>
            <w:tcBorders>
              <w:top w:val="single" w:color="auto" w:sz="4" w:space="0"/>
              <w:left w:val="single" w:color="auto" w:sz="4" w:space="0"/>
              <w:bottom w:val="single" w:color="auto" w:sz="4" w:space="0"/>
              <w:right w:val="single" w:color="auto" w:sz="4" w:space="0"/>
            </w:tcBorders>
            <w:vAlign w:val="center"/>
          </w:tcPr>
          <w:p w14:paraId="4869D0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409" w:type="dxa"/>
            <w:tcBorders>
              <w:top w:val="single" w:color="auto" w:sz="4" w:space="0"/>
              <w:left w:val="single" w:color="auto" w:sz="4" w:space="0"/>
              <w:bottom w:val="single" w:color="auto" w:sz="4" w:space="0"/>
              <w:right w:val="single" w:color="auto" w:sz="4" w:space="0"/>
            </w:tcBorders>
            <w:vAlign w:val="center"/>
          </w:tcPr>
          <w:p w14:paraId="1E651C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27F5E6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F8656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7FB398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7F7A7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62DB60E3">
            <w:pPr>
              <w:widowControl w:val="0"/>
              <w:snapToGrid w:val="0"/>
              <w:spacing w:line="240" w:lineRule="auto"/>
              <w:ind w:firstLine="0" w:firstLineChars="0"/>
              <w:rPr>
                <w:rFonts w:eastAsia="仿宋" w:cs="Times New Roman"/>
                <w:sz w:val="24"/>
                <w:szCs w:val="28"/>
              </w:rPr>
            </w:pPr>
          </w:p>
        </w:tc>
      </w:tr>
      <w:tr w14:paraId="0D001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top w:val="single" w:color="auto" w:sz="4" w:space="0"/>
              <w:left w:val="single" w:color="auto" w:sz="4" w:space="0"/>
              <w:bottom w:val="single" w:color="auto" w:sz="4" w:space="0"/>
              <w:right w:val="single" w:color="auto" w:sz="4" w:space="0"/>
            </w:tcBorders>
            <w:vAlign w:val="center"/>
          </w:tcPr>
          <w:p w14:paraId="263410DC">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right w:val="single" w:color="auto" w:sz="4" w:space="0"/>
            </w:tcBorders>
            <w:vAlign w:val="center"/>
          </w:tcPr>
          <w:p w14:paraId="3677988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w:t>
            </w:r>
          </w:p>
        </w:tc>
        <w:tc>
          <w:tcPr>
            <w:tcW w:w="2126" w:type="dxa"/>
            <w:tcBorders>
              <w:top w:val="single" w:color="auto" w:sz="4" w:space="0"/>
              <w:left w:val="single" w:color="auto" w:sz="4" w:space="0"/>
              <w:bottom w:val="single" w:color="auto" w:sz="4" w:space="0"/>
              <w:right w:val="single" w:color="auto" w:sz="4" w:space="0"/>
            </w:tcBorders>
            <w:vAlign w:val="center"/>
          </w:tcPr>
          <w:p w14:paraId="2523F76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制定对投资者的持续管理制度</w:t>
            </w:r>
          </w:p>
        </w:tc>
        <w:tc>
          <w:tcPr>
            <w:tcW w:w="993" w:type="dxa"/>
            <w:tcBorders>
              <w:top w:val="single" w:color="auto" w:sz="4" w:space="0"/>
              <w:left w:val="single" w:color="auto" w:sz="4" w:space="0"/>
              <w:bottom w:val="single" w:color="auto" w:sz="4" w:space="0"/>
              <w:right w:val="single" w:color="auto" w:sz="4" w:space="0"/>
            </w:tcBorders>
            <w:vAlign w:val="center"/>
          </w:tcPr>
          <w:p w14:paraId="6FD7A5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409" w:type="dxa"/>
            <w:tcBorders>
              <w:top w:val="single" w:color="auto" w:sz="4" w:space="0"/>
              <w:left w:val="single" w:color="auto" w:sz="4" w:space="0"/>
              <w:bottom w:val="single" w:color="auto" w:sz="4" w:space="0"/>
              <w:right w:val="single" w:color="auto" w:sz="4" w:space="0"/>
            </w:tcBorders>
            <w:vAlign w:val="center"/>
          </w:tcPr>
          <w:p w14:paraId="3EF2337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6CAD59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152A4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6A8D5B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BEFDA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4B8D764C">
            <w:pPr>
              <w:widowControl w:val="0"/>
              <w:snapToGrid w:val="0"/>
              <w:spacing w:line="240" w:lineRule="auto"/>
              <w:ind w:firstLine="0" w:firstLineChars="0"/>
              <w:rPr>
                <w:rFonts w:eastAsia="仿宋" w:cs="Times New Roman"/>
                <w:sz w:val="24"/>
                <w:szCs w:val="28"/>
              </w:rPr>
            </w:pPr>
          </w:p>
        </w:tc>
      </w:tr>
      <w:tr w14:paraId="1B52F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restart"/>
            <w:tcBorders>
              <w:top w:val="single" w:color="auto" w:sz="4" w:space="0"/>
              <w:left w:val="single" w:color="auto" w:sz="4" w:space="0"/>
              <w:right w:val="single" w:color="auto" w:sz="4" w:space="0"/>
            </w:tcBorders>
            <w:vAlign w:val="center"/>
          </w:tcPr>
          <w:p w14:paraId="5871B93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组织做好投资者期权知识测试工作</w:t>
            </w:r>
          </w:p>
        </w:tc>
        <w:tc>
          <w:tcPr>
            <w:tcW w:w="567" w:type="dxa"/>
            <w:tcBorders>
              <w:top w:val="single" w:color="auto" w:sz="4" w:space="0"/>
              <w:left w:val="single" w:color="auto" w:sz="4" w:space="0"/>
              <w:bottom w:val="single" w:color="auto" w:sz="4" w:space="0"/>
              <w:right w:val="single" w:color="auto" w:sz="4" w:space="0"/>
            </w:tcBorders>
            <w:vAlign w:val="center"/>
          </w:tcPr>
          <w:p w14:paraId="1DDB587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w:t>
            </w:r>
          </w:p>
        </w:tc>
        <w:tc>
          <w:tcPr>
            <w:tcW w:w="2126" w:type="dxa"/>
            <w:tcBorders>
              <w:top w:val="single" w:color="auto" w:sz="4" w:space="0"/>
              <w:left w:val="single" w:color="auto" w:sz="4" w:space="0"/>
              <w:bottom w:val="single" w:color="auto" w:sz="4" w:space="0"/>
              <w:right w:val="single" w:color="auto" w:sz="4" w:space="0"/>
            </w:tcBorders>
            <w:vAlign w:val="center"/>
          </w:tcPr>
          <w:p w14:paraId="02DC71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已在部分营业部设立投资者期权知识测试考场，组织投资者有序参加考试</w:t>
            </w:r>
          </w:p>
        </w:tc>
        <w:tc>
          <w:tcPr>
            <w:tcW w:w="993" w:type="dxa"/>
            <w:tcBorders>
              <w:top w:val="single" w:color="auto" w:sz="4" w:space="0"/>
              <w:left w:val="single" w:color="auto" w:sz="4" w:space="0"/>
              <w:bottom w:val="single" w:color="auto" w:sz="4" w:space="0"/>
              <w:right w:val="single" w:color="auto" w:sz="4" w:space="0"/>
            </w:tcBorders>
            <w:vAlign w:val="center"/>
          </w:tcPr>
          <w:p w14:paraId="5E0B04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总部验收纪录</w:t>
            </w:r>
            <w:r>
              <w:rPr>
                <w:rFonts w:eastAsia="仿宋" w:cs="Times New Roman"/>
                <w:sz w:val="24"/>
                <w:szCs w:val="28"/>
              </w:rPr>
              <w:t>/营业部专项检查</w:t>
            </w:r>
          </w:p>
        </w:tc>
        <w:tc>
          <w:tcPr>
            <w:tcW w:w="2409" w:type="dxa"/>
            <w:tcBorders>
              <w:top w:val="single" w:color="auto" w:sz="4" w:space="0"/>
              <w:left w:val="single" w:color="auto" w:sz="4" w:space="0"/>
              <w:bottom w:val="single" w:color="auto" w:sz="4" w:space="0"/>
              <w:right w:val="single" w:color="auto" w:sz="4" w:space="0"/>
            </w:tcBorders>
            <w:vAlign w:val="center"/>
          </w:tcPr>
          <w:p w14:paraId="67C45B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72E901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FE546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49C37D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BA42A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13ED8D50">
            <w:pPr>
              <w:widowControl w:val="0"/>
              <w:snapToGrid w:val="0"/>
              <w:spacing w:line="240" w:lineRule="auto"/>
              <w:ind w:firstLine="0" w:firstLineChars="0"/>
              <w:rPr>
                <w:rFonts w:eastAsia="仿宋" w:cs="Times New Roman"/>
                <w:sz w:val="24"/>
                <w:szCs w:val="28"/>
              </w:rPr>
            </w:pPr>
          </w:p>
        </w:tc>
      </w:tr>
      <w:tr w14:paraId="656EE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left w:val="single" w:color="auto" w:sz="4" w:space="0"/>
              <w:right w:val="single" w:color="auto" w:sz="4" w:space="0"/>
            </w:tcBorders>
            <w:vAlign w:val="center"/>
          </w:tcPr>
          <w:p w14:paraId="597C8648">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right w:val="single" w:color="auto" w:sz="4" w:space="0"/>
            </w:tcBorders>
            <w:vAlign w:val="center"/>
          </w:tcPr>
          <w:p w14:paraId="19386A6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w:t>
            </w:r>
          </w:p>
        </w:tc>
        <w:tc>
          <w:tcPr>
            <w:tcW w:w="2126" w:type="dxa"/>
            <w:tcBorders>
              <w:top w:val="single" w:color="auto" w:sz="4" w:space="0"/>
              <w:left w:val="single" w:color="auto" w:sz="4" w:space="0"/>
              <w:bottom w:val="single" w:color="auto" w:sz="4" w:space="0"/>
              <w:right w:val="single" w:color="auto" w:sz="4" w:space="0"/>
            </w:tcBorders>
            <w:vAlign w:val="center"/>
          </w:tcPr>
          <w:p w14:paraId="24578B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考场应按照“专区、专人、专机”的要求，有相对独立区域和机器作为考试场地，配备专岗人员组织考试。</w:t>
            </w:r>
          </w:p>
        </w:tc>
        <w:tc>
          <w:tcPr>
            <w:tcW w:w="993" w:type="dxa"/>
            <w:tcBorders>
              <w:top w:val="single" w:color="auto" w:sz="4" w:space="0"/>
              <w:left w:val="single" w:color="auto" w:sz="4" w:space="0"/>
              <w:bottom w:val="single" w:color="auto" w:sz="4" w:space="0"/>
              <w:right w:val="single" w:color="auto" w:sz="4" w:space="0"/>
            </w:tcBorders>
            <w:vAlign w:val="center"/>
          </w:tcPr>
          <w:p w14:paraId="4D8209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总部验收纪录</w:t>
            </w:r>
            <w:r>
              <w:rPr>
                <w:rFonts w:eastAsia="仿宋" w:cs="Times New Roman"/>
                <w:sz w:val="24"/>
                <w:szCs w:val="28"/>
              </w:rPr>
              <w:t>/营业部专项检查</w:t>
            </w:r>
          </w:p>
        </w:tc>
        <w:tc>
          <w:tcPr>
            <w:tcW w:w="2409" w:type="dxa"/>
            <w:tcBorders>
              <w:top w:val="single" w:color="auto" w:sz="4" w:space="0"/>
              <w:left w:val="single" w:color="auto" w:sz="4" w:space="0"/>
              <w:bottom w:val="single" w:color="auto" w:sz="4" w:space="0"/>
              <w:right w:val="single" w:color="auto" w:sz="4" w:space="0"/>
            </w:tcBorders>
            <w:vAlign w:val="center"/>
          </w:tcPr>
          <w:p w14:paraId="10B12F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787F1B2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F4255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6ED9EC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952CD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3899200A">
            <w:pPr>
              <w:widowControl w:val="0"/>
              <w:snapToGrid w:val="0"/>
              <w:spacing w:line="240" w:lineRule="auto"/>
              <w:ind w:firstLine="0" w:firstLineChars="0"/>
              <w:rPr>
                <w:rFonts w:eastAsia="仿宋" w:cs="Times New Roman"/>
                <w:sz w:val="24"/>
                <w:szCs w:val="28"/>
              </w:rPr>
            </w:pPr>
          </w:p>
        </w:tc>
      </w:tr>
      <w:tr w14:paraId="6C765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left w:val="single" w:color="auto" w:sz="4" w:space="0"/>
              <w:bottom w:val="single" w:color="auto" w:sz="4" w:space="0"/>
              <w:right w:val="single" w:color="auto" w:sz="4" w:space="0"/>
            </w:tcBorders>
            <w:vAlign w:val="center"/>
          </w:tcPr>
          <w:p w14:paraId="6AEA2535">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right w:val="single" w:color="auto" w:sz="4" w:space="0"/>
            </w:tcBorders>
            <w:vAlign w:val="center"/>
          </w:tcPr>
          <w:p w14:paraId="33A2580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w:t>
            </w:r>
          </w:p>
        </w:tc>
        <w:tc>
          <w:tcPr>
            <w:tcW w:w="2126" w:type="dxa"/>
            <w:tcBorders>
              <w:top w:val="single" w:color="auto" w:sz="4" w:space="0"/>
              <w:left w:val="single" w:color="auto" w:sz="4" w:space="0"/>
              <w:bottom w:val="single" w:color="auto" w:sz="4" w:space="0"/>
              <w:right w:val="single" w:color="auto" w:sz="4" w:space="0"/>
            </w:tcBorders>
            <w:vAlign w:val="center"/>
          </w:tcPr>
          <w:p w14:paraId="761866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通过考试的投资者的诚信声明应按要求录像或拍照存档</w:t>
            </w:r>
          </w:p>
        </w:tc>
        <w:tc>
          <w:tcPr>
            <w:tcW w:w="993" w:type="dxa"/>
            <w:tcBorders>
              <w:top w:val="single" w:color="auto" w:sz="4" w:space="0"/>
              <w:left w:val="single" w:color="auto" w:sz="4" w:space="0"/>
              <w:bottom w:val="single" w:color="auto" w:sz="4" w:space="0"/>
              <w:right w:val="single" w:color="auto" w:sz="4" w:space="0"/>
            </w:tcBorders>
            <w:vAlign w:val="center"/>
          </w:tcPr>
          <w:p w14:paraId="2113BC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抽查存档文件（模拟开户流程示例视频、照片）</w:t>
            </w:r>
          </w:p>
        </w:tc>
        <w:tc>
          <w:tcPr>
            <w:tcW w:w="2409" w:type="dxa"/>
            <w:tcBorders>
              <w:top w:val="single" w:color="auto" w:sz="4" w:space="0"/>
              <w:left w:val="single" w:color="auto" w:sz="4" w:space="0"/>
              <w:bottom w:val="single" w:color="auto" w:sz="4" w:space="0"/>
              <w:right w:val="single" w:color="auto" w:sz="4" w:space="0"/>
            </w:tcBorders>
            <w:vAlign w:val="center"/>
          </w:tcPr>
          <w:p w14:paraId="0D4403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055492A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88B87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3BCB00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5E326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264627EC">
            <w:pPr>
              <w:widowControl w:val="0"/>
              <w:snapToGrid w:val="0"/>
              <w:spacing w:line="240" w:lineRule="auto"/>
              <w:ind w:firstLine="0" w:firstLineChars="0"/>
              <w:rPr>
                <w:rFonts w:eastAsia="仿宋" w:cs="Times New Roman"/>
                <w:sz w:val="24"/>
                <w:szCs w:val="28"/>
              </w:rPr>
            </w:pPr>
          </w:p>
        </w:tc>
      </w:tr>
      <w:tr w14:paraId="112DC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restart"/>
            <w:tcBorders>
              <w:top w:val="single" w:color="auto" w:sz="4" w:space="0"/>
              <w:left w:val="single" w:color="auto" w:sz="4" w:space="0"/>
              <w:right w:val="single" w:color="auto" w:sz="4" w:space="0"/>
            </w:tcBorders>
            <w:vAlign w:val="center"/>
          </w:tcPr>
          <w:p w14:paraId="136E819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建立完整的股票期权投资者持续培育工作机制</w:t>
            </w:r>
          </w:p>
        </w:tc>
        <w:tc>
          <w:tcPr>
            <w:tcW w:w="567" w:type="dxa"/>
            <w:tcBorders>
              <w:top w:val="single" w:color="auto" w:sz="4" w:space="0"/>
              <w:left w:val="single" w:color="auto" w:sz="4" w:space="0"/>
              <w:bottom w:val="single" w:color="auto" w:sz="4" w:space="0"/>
              <w:right w:val="single" w:color="auto" w:sz="4" w:space="0"/>
            </w:tcBorders>
            <w:vAlign w:val="center"/>
          </w:tcPr>
          <w:p w14:paraId="116D25B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126" w:type="dxa"/>
            <w:tcBorders>
              <w:top w:val="single" w:color="auto" w:sz="4" w:space="0"/>
              <w:left w:val="single" w:color="auto" w:sz="4" w:space="0"/>
              <w:bottom w:val="single" w:color="auto" w:sz="4" w:space="0"/>
              <w:right w:val="single" w:color="auto" w:sz="4" w:space="0"/>
            </w:tcBorders>
            <w:vAlign w:val="center"/>
          </w:tcPr>
          <w:p w14:paraId="234BA9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有一套期权投资者持续培育的总体部署与方案</w:t>
            </w:r>
          </w:p>
        </w:tc>
        <w:tc>
          <w:tcPr>
            <w:tcW w:w="993" w:type="dxa"/>
            <w:tcBorders>
              <w:top w:val="single" w:color="auto" w:sz="4" w:space="0"/>
              <w:left w:val="single" w:color="auto" w:sz="4" w:space="0"/>
              <w:bottom w:val="single" w:color="auto" w:sz="4" w:space="0"/>
              <w:right w:val="single" w:color="auto" w:sz="4" w:space="0"/>
            </w:tcBorders>
            <w:vAlign w:val="center"/>
          </w:tcPr>
          <w:p w14:paraId="28B288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409" w:type="dxa"/>
            <w:tcBorders>
              <w:top w:val="single" w:color="auto" w:sz="4" w:space="0"/>
              <w:left w:val="single" w:color="auto" w:sz="4" w:space="0"/>
              <w:bottom w:val="single" w:color="auto" w:sz="4" w:space="0"/>
              <w:right w:val="single" w:color="auto" w:sz="4" w:space="0"/>
            </w:tcBorders>
            <w:vAlign w:val="center"/>
          </w:tcPr>
          <w:p w14:paraId="641E85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0206B6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6827E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674AC1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9FABA0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62C09555">
            <w:pPr>
              <w:widowControl w:val="0"/>
              <w:snapToGrid w:val="0"/>
              <w:spacing w:line="240" w:lineRule="auto"/>
              <w:ind w:firstLine="0" w:firstLineChars="0"/>
              <w:rPr>
                <w:rFonts w:eastAsia="仿宋" w:cs="Times New Roman"/>
                <w:sz w:val="24"/>
                <w:szCs w:val="28"/>
              </w:rPr>
            </w:pPr>
          </w:p>
        </w:tc>
      </w:tr>
      <w:tr w14:paraId="4F194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left w:val="single" w:color="auto" w:sz="4" w:space="0"/>
              <w:right w:val="single" w:color="auto" w:sz="4" w:space="0"/>
            </w:tcBorders>
            <w:vAlign w:val="center"/>
          </w:tcPr>
          <w:p w14:paraId="252F7A03">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right w:val="single" w:color="auto" w:sz="4" w:space="0"/>
            </w:tcBorders>
            <w:vAlign w:val="center"/>
          </w:tcPr>
          <w:p w14:paraId="296898A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126" w:type="dxa"/>
            <w:tcBorders>
              <w:top w:val="single" w:color="auto" w:sz="4" w:space="0"/>
              <w:left w:val="single" w:color="auto" w:sz="4" w:space="0"/>
              <w:bottom w:val="single" w:color="auto" w:sz="4" w:space="0"/>
              <w:right w:val="single" w:color="auto" w:sz="4" w:space="0"/>
            </w:tcBorders>
            <w:vAlign w:val="center"/>
          </w:tcPr>
          <w:p w14:paraId="2CB46CF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总部有专人负责统筹股票期权投资者培训</w:t>
            </w:r>
          </w:p>
        </w:tc>
        <w:tc>
          <w:tcPr>
            <w:tcW w:w="993" w:type="dxa"/>
            <w:tcBorders>
              <w:top w:val="single" w:color="auto" w:sz="4" w:space="0"/>
              <w:left w:val="single" w:color="auto" w:sz="4" w:space="0"/>
              <w:bottom w:val="single" w:color="auto" w:sz="4" w:space="0"/>
              <w:right w:val="single" w:color="auto" w:sz="4" w:space="0"/>
            </w:tcBorders>
            <w:vAlign w:val="center"/>
          </w:tcPr>
          <w:p w14:paraId="20C64C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查阅专门的岗位设置与职责</w:t>
            </w:r>
          </w:p>
        </w:tc>
        <w:tc>
          <w:tcPr>
            <w:tcW w:w="2409" w:type="dxa"/>
            <w:tcBorders>
              <w:top w:val="single" w:color="auto" w:sz="4" w:space="0"/>
              <w:left w:val="single" w:color="auto" w:sz="4" w:space="0"/>
              <w:bottom w:val="single" w:color="auto" w:sz="4" w:space="0"/>
              <w:right w:val="single" w:color="auto" w:sz="4" w:space="0"/>
            </w:tcBorders>
            <w:vAlign w:val="center"/>
          </w:tcPr>
          <w:p w14:paraId="7281F5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left w:val="single" w:color="auto" w:sz="4" w:space="0"/>
              <w:bottom w:val="single" w:color="auto" w:sz="4" w:space="0"/>
              <w:right w:val="single" w:color="auto" w:sz="4" w:space="0"/>
            </w:tcBorders>
            <w:vAlign w:val="center"/>
          </w:tcPr>
          <w:p w14:paraId="7EA926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A23EB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left w:val="single" w:color="auto" w:sz="4" w:space="0"/>
              <w:bottom w:val="single" w:color="auto" w:sz="4" w:space="0"/>
              <w:right w:val="single" w:color="auto" w:sz="4" w:space="0"/>
            </w:tcBorders>
            <w:vAlign w:val="center"/>
          </w:tcPr>
          <w:p w14:paraId="0F05C0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AB535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left w:val="single" w:color="auto" w:sz="4" w:space="0"/>
              <w:bottom w:val="single" w:color="auto" w:sz="4" w:space="0"/>
              <w:right w:val="single" w:color="auto" w:sz="4" w:space="0"/>
            </w:tcBorders>
            <w:vAlign w:val="center"/>
          </w:tcPr>
          <w:p w14:paraId="44C4DB2E">
            <w:pPr>
              <w:widowControl w:val="0"/>
              <w:snapToGrid w:val="0"/>
              <w:spacing w:line="240" w:lineRule="auto"/>
              <w:ind w:firstLine="0" w:firstLineChars="0"/>
              <w:rPr>
                <w:rFonts w:eastAsia="仿宋" w:cs="Times New Roman"/>
                <w:sz w:val="24"/>
                <w:szCs w:val="28"/>
              </w:rPr>
            </w:pPr>
          </w:p>
        </w:tc>
      </w:tr>
      <w:tr w14:paraId="0B561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left w:val="single" w:color="auto" w:sz="4" w:space="0"/>
              <w:right w:val="single" w:color="auto" w:sz="4" w:space="0"/>
            </w:tcBorders>
            <w:vAlign w:val="center"/>
          </w:tcPr>
          <w:p w14:paraId="18E64A37">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tcBorders>
            <w:vAlign w:val="center"/>
          </w:tcPr>
          <w:p w14:paraId="55B9EA2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126" w:type="dxa"/>
            <w:tcBorders>
              <w:top w:val="single" w:color="auto" w:sz="4" w:space="0"/>
              <w:bottom w:val="single" w:color="auto" w:sz="4" w:space="0"/>
            </w:tcBorders>
            <w:vAlign w:val="center"/>
          </w:tcPr>
          <w:p w14:paraId="5858F9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有计划地制作、分发相关宣传资料，通过有效手段宣传本所股票期权投教专区及微信公众平台</w:t>
            </w:r>
          </w:p>
        </w:tc>
        <w:tc>
          <w:tcPr>
            <w:tcW w:w="993" w:type="dxa"/>
            <w:tcBorders>
              <w:top w:val="single" w:color="auto" w:sz="4" w:space="0"/>
              <w:bottom w:val="single" w:color="auto" w:sz="4" w:space="0"/>
            </w:tcBorders>
            <w:vAlign w:val="center"/>
          </w:tcPr>
          <w:p w14:paraId="687B49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查阅宣传资料、宣传渠道</w:t>
            </w:r>
          </w:p>
        </w:tc>
        <w:tc>
          <w:tcPr>
            <w:tcW w:w="2409" w:type="dxa"/>
            <w:tcBorders>
              <w:top w:val="single" w:color="auto" w:sz="4" w:space="0"/>
              <w:bottom w:val="single" w:color="auto" w:sz="4" w:space="0"/>
            </w:tcBorders>
            <w:vAlign w:val="center"/>
          </w:tcPr>
          <w:p w14:paraId="5CC3B25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bottom w:val="single" w:color="auto" w:sz="4" w:space="0"/>
            </w:tcBorders>
            <w:vAlign w:val="center"/>
          </w:tcPr>
          <w:p w14:paraId="5A9CED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13DD4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bottom w:val="single" w:color="auto" w:sz="4" w:space="0"/>
            </w:tcBorders>
            <w:vAlign w:val="center"/>
          </w:tcPr>
          <w:p w14:paraId="4C202D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97D4C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bottom w:val="single" w:color="auto" w:sz="4" w:space="0"/>
            </w:tcBorders>
            <w:vAlign w:val="center"/>
          </w:tcPr>
          <w:p w14:paraId="26F475C0">
            <w:pPr>
              <w:widowControl w:val="0"/>
              <w:snapToGrid w:val="0"/>
              <w:spacing w:line="240" w:lineRule="auto"/>
              <w:ind w:firstLine="0" w:firstLineChars="0"/>
              <w:rPr>
                <w:rFonts w:eastAsia="仿宋" w:cs="Times New Roman"/>
                <w:sz w:val="24"/>
                <w:szCs w:val="28"/>
              </w:rPr>
            </w:pPr>
          </w:p>
        </w:tc>
      </w:tr>
      <w:tr w14:paraId="62E8F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tcBorders>
              <w:left w:val="single" w:color="auto" w:sz="4" w:space="0"/>
              <w:bottom w:val="single" w:color="auto" w:sz="4" w:space="0"/>
              <w:right w:val="single" w:color="auto" w:sz="4" w:space="0"/>
            </w:tcBorders>
            <w:vAlign w:val="center"/>
          </w:tcPr>
          <w:p w14:paraId="7FD16DAF">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left w:val="single" w:color="auto" w:sz="4" w:space="0"/>
              <w:bottom w:val="single" w:color="auto" w:sz="4" w:space="0"/>
            </w:tcBorders>
            <w:vAlign w:val="center"/>
          </w:tcPr>
          <w:p w14:paraId="2069C16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w:t>
            </w:r>
            <w:r>
              <w:rPr>
                <w:rFonts w:hint="eastAsia" w:eastAsia="仿宋" w:cs="Times New Roman"/>
                <w:sz w:val="24"/>
                <w:szCs w:val="28"/>
              </w:rPr>
              <w:t>0</w:t>
            </w:r>
          </w:p>
        </w:tc>
        <w:tc>
          <w:tcPr>
            <w:tcW w:w="2126" w:type="dxa"/>
            <w:tcBorders>
              <w:top w:val="single" w:color="auto" w:sz="4" w:space="0"/>
              <w:bottom w:val="single" w:color="auto" w:sz="4" w:space="0"/>
            </w:tcBorders>
            <w:vAlign w:val="center"/>
          </w:tcPr>
          <w:p w14:paraId="142D0C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在分支机构、营业部持续开展股票期权专题培训</w:t>
            </w:r>
          </w:p>
        </w:tc>
        <w:tc>
          <w:tcPr>
            <w:tcW w:w="993" w:type="dxa"/>
            <w:tcBorders>
              <w:top w:val="single" w:color="auto" w:sz="4" w:space="0"/>
              <w:bottom w:val="single" w:color="auto" w:sz="4" w:space="0"/>
            </w:tcBorders>
            <w:vAlign w:val="center"/>
          </w:tcPr>
          <w:p w14:paraId="1F33DF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查阅培训留痕资料</w:t>
            </w:r>
          </w:p>
        </w:tc>
        <w:tc>
          <w:tcPr>
            <w:tcW w:w="2409" w:type="dxa"/>
            <w:tcBorders>
              <w:top w:val="single" w:color="auto" w:sz="4" w:space="0"/>
              <w:bottom w:val="single" w:color="auto" w:sz="4" w:space="0"/>
            </w:tcBorders>
            <w:vAlign w:val="center"/>
          </w:tcPr>
          <w:p w14:paraId="240C8C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bottom w:val="single" w:color="auto" w:sz="4" w:space="0"/>
            </w:tcBorders>
            <w:vAlign w:val="center"/>
          </w:tcPr>
          <w:p w14:paraId="107096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A54704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bottom w:val="single" w:color="auto" w:sz="4" w:space="0"/>
            </w:tcBorders>
            <w:vAlign w:val="center"/>
          </w:tcPr>
          <w:p w14:paraId="24656C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209EA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bottom w:val="single" w:color="auto" w:sz="4" w:space="0"/>
            </w:tcBorders>
            <w:vAlign w:val="center"/>
          </w:tcPr>
          <w:p w14:paraId="317EA768">
            <w:pPr>
              <w:widowControl w:val="0"/>
              <w:snapToGrid w:val="0"/>
              <w:spacing w:line="240" w:lineRule="auto"/>
              <w:ind w:firstLine="0" w:firstLineChars="0"/>
              <w:rPr>
                <w:rFonts w:eastAsia="仿宋" w:cs="Times New Roman"/>
                <w:sz w:val="24"/>
                <w:szCs w:val="28"/>
              </w:rPr>
            </w:pPr>
          </w:p>
        </w:tc>
      </w:tr>
      <w:tr w14:paraId="46455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restart"/>
            <w:tcBorders>
              <w:top w:val="single" w:color="auto" w:sz="4" w:space="0"/>
            </w:tcBorders>
            <w:vAlign w:val="center"/>
          </w:tcPr>
          <w:p w14:paraId="1F98C68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加强对营业部一线员工的股票期权知识培育</w:t>
            </w:r>
          </w:p>
        </w:tc>
        <w:tc>
          <w:tcPr>
            <w:tcW w:w="567" w:type="dxa"/>
            <w:tcBorders>
              <w:top w:val="single" w:color="auto" w:sz="4" w:space="0"/>
              <w:bottom w:val="single" w:color="auto" w:sz="4" w:space="0"/>
            </w:tcBorders>
            <w:vAlign w:val="center"/>
          </w:tcPr>
          <w:p w14:paraId="43044683">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w:t>
            </w:r>
            <w:r>
              <w:rPr>
                <w:rFonts w:hint="eastAsia" w:eastAsia="仿宋" w:cs="Times New Roman"/>
                <w:sz w:val="24"/>
                <w:szCs w:val="28"/>
              </w:rPr>
              <w:t>1</w:t>
            </w:r>
          </w:p>
        </w:tc>
        <w:tc>
          <w:tcPr>
            <w:tcW w:w="2126" w:type="dxa"/>
            <w:tcBorders>
              <w:top w:val="single" w:color="auto" w:sz="4" w:space="0"/>
              <w:bottom w:val="single" w:color="auto" w:sz="4" w:space="0"/>
            </w:tcBorders>
            <w:vAlign w:val="center"/>
          </w:tcPr>
          <w:p w14:paraId="1611EE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加强营业部的期权人才队伍建设，明确营业部员工学习要求及其考核标准</w:t>
            </w:r>
          </w:p>
        </w:tc>
        <w:tc>
          <w:tcPr>
            <w:tcW w:w="993" w:type="dxa"/>
            <w:tcBorders>
              <w:top w:val="single" w:color="auto" w:sz="4" w:space="0"/>
              <w:bottom w:val="single" w:color="auto" w:sz="4" w:space="0"/>
            </w:tcBorders>
            <w:vAlign w:val="center"/>
          </w:tcPr>
          <w:p w14:paraId="4906C9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查阅文档（如公司下发的相关通知、公司考核指标等）</w:t>
            </w:r>
          </w:p>
        </w:tc>
        <w:tc>
          <w:tcPr>
            <w:tcW w:w="2409" w:type="dxa"/>
            <w:tcBorders>
              <w:top w:val="single" w:color="auto" w:sz="4" w:space="0"/>
              <w:bottom w:val="single" w:color="auto" w:sz="4" w:space="0"/>
            </w:tcBorders>
            <w:vAlign w:val="center"/>
          </w:tcPr>
          <w:p w14:paraId="24613C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bottom w:val="single" w:color="auto" w:sz="4" w:space="0"/>
            </w:tcBorders>
            <w:vAlign w:val="center"/>
          </w:tcPr>
          <w:p w14:paraId="4151998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27C8D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bottom w:val="single" w:color="auto" w:sz="4" w:space="0"/>
            </w:tcBorders>
            <w:vAlign w:val="center"/>
          </w:tcPr>
          <w:p w14:paraId="2F4AEC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4CFF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bottom w:val="single" w:color="auto" w:sz="4" w:space="0"/>
            </w:tcBorders>
            <w:vAlign w:val="center"/>
          </w:tcPr>
          <w:p w14:paraId="6CEC74AF">
            <w:pPr>
              <w:widowControl w:val="0"/>
              <w:snapToGrid w:val="0"/>
              <w:spacing w:line="240" w:lineRule="auto"/>
              <w:ind w:firstLine="0" w:firstLineChars="0"/>
              <w:rPr>
                <w:rFonts w:eastAsia="仿宋" w:cs="Times New Roman"/>
                <w:sz w:val="24"/>
                <w:szCs w:val="28"/>
              </w:rPr>
            </w:pPr>
          </w:p>
        </w:tc>
      </w:tr>
      <w:tr w14:paraId="5DBED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30" w:type="dxa"/>
            <w:vMerge w:val="continue"/>
            <w:vAlign w:val="center"/>
          </w:tcPr>
          <w:p w14:paraId="6CAA3E5E">
            <w:pPr>
              <w:widowControl w:val="0"/>
              <w:snapToGrid w:val="0"/>
              <w:spacing w:line="240" w:lineRule="auto"/>
              <w:ind w:firstLine="0" w:firstLineChars="0"/>
              <w:jc w:val="center"/>
              <w:rPr>
                <w:rFonts w:eastAsia="仿宋" w:cs="Times New Roman"/>
                <w:b/>
                <w:sz w:val="24"/>
                <w:szCs w:val="28"/>
              </w:rPr>
            </w:pPr>
          </w:p>
        </w:tc>
        <w:tc>
          <w:tcPr>
            <w:tcW w:w="567" w:type="dxa"/>
            <w:tcBorders>
              <w:top w:val="single" w:color="auto" w:sz="4" w:space="0"/>
              <w:bottom w:val="single" w:color="auto" w:sz="4" w:space="0"/>
            </w:tcBorders>
            <w:vAlign w:val="center"/>
          </w:tcPr>
          <w:p w14:paraId="5A278BA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2126" w:type="dxa"/>
            <w:tcBorders>
              <w:top w:val="single" w:color="auto" w:sz="4" w:space="0"/>
              <w:bottom w:val="single" w:color="auto" w:sz="4" w:space="0"/>
            </w:tcBorders>
            <w:vAlign w:val="center"/>
          </w:tcPr>
          <w:p w14:paraId="3A24F7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营业部具有</w:t>
            </w:r>
            <w:r>
              <w:rPr>
                <w:rFonts w:eastAsia="仿宋" w:cs="Times New Roman"/>
                <w:sz w:val="24"/>
                <w:szCs w:val="28"/>
              </w:rPr>
              <w:t>能够面向投资者讲解股票期权知识的讲师</w:t>
            </w:r>
            <w:r>
              <w:rPr>
                <w:rFonts w:hint="eastAsia" w:eastAsia="仿宋" w:cs="Times New Roman"/>
                <w:sz w:val="24"/>
                <w:szCs w:val="28"/>
              </w:rPr>
              <w:t>或投顾</w:t>
            </w:r>
          </w:p>
        </w:tc>
        <w:tc>
          <w:tcPr>
            <w:tcW w:w="993" w:type="dxa"/>
            <w:tcBorders>
              <w:top w:val="single" w:color="auto" w:sz="4" w:space="0"/>
              <w:bottom w:val="single" w:color="auto" w:sz="4" w:space="0"/>
            </w:tcBorders>
            <w:vAlign w:val="center"/>
          </w:tcPr>
          <w:p w14:paraId="372C83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总部关于营业部开展培训的文档记录</w:t>
            </w:r>
            <w:r>
              <w:rPr>
                <w:rFonts w:eastAsia="仿宋" w:cs="Times New Roman"/>
                <w:sz w:val="24"/>
                <w:szCs w:val="28"/>
              </w:rPr>
              <w:t>/营业部现场访谈</w:t>
            </w:r>
          </w:p>
        </w:tc>
        <w:tc>
          <w:tcPr>
            <w:tcW w:w="2409" w:type="dxa"/>
            <w:tcBorders>
              <w:top w:val="single" w:color="auto" w:sz="4" w:space="0"/>
              <w:bottom w:val="single" w:color="auto" w:sz="4" w:space="0"/>
            </w:tcBorders>
            <w:vAlign w:val="center"/>
          </w:tcPr>
          <w:p w14:paraId="41CDBC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93" w:type="dxa"/>
            <w:tcBorders>
              <w:top w:val="single" w:color="auto" w:sz="4" w:space="0"/>
              <w:bottom w:val="single" w:color="auto" w:sz="4" w:space="0"/>
            </w:tcBorders>
            <w:vAlign w:val="center"/>
          </w:tcPr>
          <w:p w14:paraId="0CB78E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8F184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992" w:type="dxa"/>
            <w:tcBorders>
              <w:top w:val="single" w:color="auto" w:sz="4" w:space="0"/>
              <w:bottom w:val="single" w:color="auto" w:sz="4" w:space="0"/>
            </w:tcBorders>
            <w:vAlign w:val="center"/>
          </w:tcPr>
          <w:p w14:paraId="64690A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C825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71" w:type="dxa"/>
            <w:tcBorders>
              <w:top w:val="single" w:color="auto" w:sz="4" w:space="0"/>
              <w:bottom w:val="single" w:color="auto" w:sz="4" w:space="0"/>
            </w:tcBorders>
            <w:vAlign w:val="center"/>
          </w:tcPr>
          <w:p w14:paraId="15439BDB">
            <w:pPr>
              <w:widowControl w:val="0"/>
              <w:snapToGrid w:val="0"/>
              <w:spacing w:line="240" w:lineRule="auto"/>
              <w:ind w:firstLine="0" w:firstLineChars="0"/>
              <w:rPr>
                <w:rFonts w:eastAsia="仿宋" w:cs="Times New Roman"/>
                <w:sz w:val="24"/>
                <w:szCs w:val="28"/>
              </w:rPr>
            </w:pPr>
          </w:p>
        </w:tc>
      </w:tr>
    </w:tbl>
    <w:p w14:paraId="7C99F1C8">
      <w:pPr>
        <w:spacing w:line="400" w:lineRule="exact"/>
        <w:ind w:firstLine="0" w:firstLineChars="0"/>
        <w:jc w:val="left"/>
        <w:rPr>
          <w:rFonts w:cs="Times New Roman"/>
          <w:sz w:val="28"/>
          <w:szCs w:val="21"/>
        </w:rPr>
      </w:pPr>
    </w:p>
    <w:p w14:paraId="38DD9359">
      <w:pPr>
        <w:spacing w:line="400" w:lineRule="exact"/>
        <w:ind w:firstLine="0" w:firstLineChars="0"/>
        <w:jc w:val="left"/>
        <w:rPr>
          <w:rFonts w:cs="Times New Roman"/>
          <w:sz w:val="28"/>
          <w:szCs w:val="21"/>
        </w:rPr>
      </w:pPr>
    </w:p>
    <w:p w14:paraId="276A8364">
      <w:pPr>
        <w:spacing w:line="400" w:lineRule="exact"/>
        <w:ind w:firstLine="0" w:firstLineChars="0"/>
        <w:jc w:val="left"/>
        <w:rPr>
          <w:rFonts w:cs="Times New Roman"/>
          <w:sz w:val="28"/>
          <w:szCs w:val="21"/>
        </w:rPr>
      </w:pPr>
    </w:p>
    <w:p w14:paraId="3C3F66CC">
      <w:pPr>
        <w:widowControl w:val="0"/>
        <w:overflowPunct w:val="0"/>
        <w:topLinePunct/>
        <w:spacing w:line="400" w:lineRule="exact"/>
        <w:ind w:firstLine="0" w:firstLineChars="0"/>
        <w:rPr>
          <w:rFonts w:cs="Times New Roman"/>
          <w:sz w:val="28"/>
          <w:szCs w:val="21"/>
        </w:rPr>
      </w:pPr>
      <w:r>
        <w:rPr>
          <w:rFonts w:cs="Times New Roman"/>
          <w:bCs/>
          <w:sz w:val="28"/>
          <w:szCs w:val="21"/>
        </w:rPr>
        <w:br w:type="page"/>
      </w:r>
    </w:p>
    <w:p w14:paraId="3EA8143D">
      <w:pPr>
        <w:pStyle w:val="4"/>
        <w:rPr>
          <w:rFonts w:hint="eastAsia" w:ascii="Times New Roman" w:hAnsi="Times New Roman"/>
          <w:lang w:eastAsia="zh-CN"/>
        </w:rPr>
      </w:pPr>
      <w:r>
        <w:rPr>
          <w:rFonts w:hint="default" w:ascii="Times New Roman" w:hAnsi="Times New Roman"/>
        </w:rPr>
        <w:t>附件</w:t>
      </w:r>
      <w:r>
        <w:rPr>
          <w:rFonts w:hint="eastAsia" w:ascii="Times New Roman" w:hAnsi="Times New Roman"/>
          <w:lang w:eastAsia="zh-CN"/>
        </w:rPr>
        <w:t>二</w:t>
      </w:r>
    </w:p>
    <w:bookmarkEnd w:id="555"/>
    <w:p w14:paraId="5576119B">
      <w:pPr>
        <w:pStyle w:val="4"/>
        <w:jc w:val="center"/>
        <w:rPr>
          <w:rFonts w:ascii="Times New Roman" w:hAnsi="Times New Roman"/>
          <w:szCs w:val="28"/>
        </w:rPr>
      </w:pPr>
      <w:bookmarkStart w:id="574" w:name="_Toc17332"/>
      <w:bookmarkStart w:id="575" w:name="_Toc23947196"/>
      <w:bookmarkStart w:id="576" w:name="_Toc9483"/>
      <w:r>
        <w:rPr>
          <w:rFonts w:hint="eastAsia" w:ascii="Times New Roman" w:hAnsi="Times New Roman"/>
          <w:szCs w:val="28"/>
        </w:rPr>
        <w:t>适当性综合评估样表</w:t>
      </w:r>
      <w:bookmarkEnd w:id="556"/>
      <w:bookmarkEnd w:id="574"/>
      <w:bookmarkEnd w:id="575"/>
      <w:bookmarkEnd w:id="576"/>
    </w:p>
    <w:bookmarkEnd w:id="557"/>
    <w:p w14:paraId="21CC399E">
      <w:pPr>
        <w:pStyle w:val="28"/>
        <w:snapToGrid w:val="0"/>
        <w:spacing w:line="360" w:lineRule="auto"/>
        <w:ind w:firstLine="480" w:firstLineChars="200"/>
        <w:rPr>
          <w:rFonts w:hint="default" w:ascii="Times New Roman" w:hAnsi="Times New Roman" w:eastAsia="仿宋_GB2312"/>
        </w:rPr>
      </w:pPr>
      <w:r>
        <w:rPr>
          <w:rFonts w:hint="default" w:ascii="Times New Roman" w:hAnsi="Times New Roman" w:eastAsia="仿宋_GB2312"/>
        </w:rPr>
        <w:t>本样表仅供各期权经营机构参考，各期权经营机构可以根据自身实际情况和投资者特点，制定各自的适当性综合评估表。</w:t>
      </w:r>
    </w:p>
    <w:tbl>
      <w:tblPr>
        <w:tblStyle w:val="31"/>
        <w:tblW w:w="8600" w:type="dxa"/>
        <w:tblInd w:w="96" w:type="dxa"/>
        <w:tblLayout w:type="fixed"/>
        <w:tblCellMar>
          <w:top w:w="0" w:type="dxa"/>
          <w:left w:w="108" w:type="dxa"/>
          <w:bottom w:w="0" w:type="dxa"/>
          <w:right w:w="108" w:type="dxa"/>
        </w:tblCellMar>
      </w:tblPr>
      <w:tblGrid>
        <w:gridCol w:w="4800"/>
        <w:gridCol w:w="2200"/>
        <w:gridCol w:w="1600"/>
      </w:tblGrid>
      <w:tr w14:paraId="7ADFF78E">
        <w:tblPrEx>
          <w:tblCellMar>
            <w:top w:w="0" w:type="dxa"/>
            <w:left w:w="108" w:type="dxa"/>
            <w:bottom w:w="0" w:type="dxa"/>
            <w:right w:w="108" w:type="dxa"/>
          </w:tblCellMar>
        </w:tblPrEx>
        <w:trPr>
          <w:trHeight w:val="51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3CD70ADF">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指标项目</w:t>
            </w:r>
          </w:p>
        </w:tc>
        <w:tc>
          <w:tcPr>
            <w:tcW w:w="1600" w:type="dxa"/>
            <w:tcBorders>
              <w:top w:val="single" w:color="auto" w:sz="4" w:space="0"/>
              <w:left w:val="nil"/>
              <w:bottom w:val="single" w:color="auto" w:sz="4" w:space="0"/>
              <w:right w:val="single" w:color="auto" w:sz="4" w:space="0"/>
            </w:tcBorders>
          </w:tcPr>
          <w:p w14:paraId="67FC089B">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是否达到要求（勾选）</w:t>
            </w:r>
          </w:p>
        </w:tc>
      </w:tr>
      <w:tr w14:paraId="0A4DB67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2987ED7B">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一、相关投资经历</w:t>
            </w:r>
          </w:p>
        </w:tc>
      </w:tr>
      <w:tr w14:paraId="26989143">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5CD266C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具备拟申请交易权限要求的期权模拟交易经历</w:t>
            </w:r>
          </w:p>
        </w:tc>
        <w:tc>
          <w:tcPr>
            <w:tcW w:w="1600" w:type="dxa"/>
            <w:tcBorders>
              <w:top w:val="nil"/>
              <w:left w:val="nil"/>
              <w:bottom w:val="single" w:color="auto" w:sz="4" w:space="0"/>
              <w:right w:val="single" w:color="auto" w:sz="4" w:space="0"/>
            </w:tcBorders>
            <w:vAlign w:val="center"/>
          </w:tcPr>
          <w:p w14:paraId="205FDE8C">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126FA160">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31C9216A">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沪市A股账户开立合计6个月以上</w:t>
            </w:r>
          </w:p>
        </w:tc>
        <w:tc>
          <w:tcPr>
            <w:tcW w:w="1600" w:type="dxa"/>
            <w:tcBorders>
              <w:top w:val="nil"/>
              <w:left w:val="nil"/>
              <w:bottom w:val="single" w:color="auto" w:sz="4" w:space="0"/>
              <w:right w:val="single" w:color="auto" w:sz="4" w:space="0"/>
            </w:tcBorders>
            <w:vAlign w:val="center"/>
          </w:tcPr>
          <w:p w14:paraId="006B8E7F">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556D3326">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730BB41E">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具备融资融券业务参与资格或者金融期货交易经历</w:t>
            </w:r>
          </w:p>
        </w:tc>
        <w:tc>
          <w:tcPr>
            <w:tcW w:w="1600" w:type="dxa"/>
            <w:tcBorders>
              <w:top w:val="nil"/>
              <w:left w:val="nil"/>
              <w:bottom w:val="single" w:color="auto" w:sz="4" w:space="0"/>
              <w:right w:val="single" w:color="auto" w:sz="4" w:space="0"/>
            </w:tcBorders>
            <w:vAlign w:val="center"/>
          </w:tcPr>
          <w:p w14:paraId="6788EDF4">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369A9FEC">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09402193">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二、金融类资产状况</w:t>
            </w:r>
          </w:p>
        </w:tc>
      </w:tr>
      <w:tr w14:paraId="687330A3">
        <w:tblPrEx>
          <w:tblCellMar>
            <w:top w:w="0" w:type="dxa"/>
            <w:left w:w="108" w:type="dxa"/>
            <w:bottom w:w="0" w:type="dxa"/>
            <w:right w:w="108" w:type="dxa"/>
          </w:tblCellMar>
        </w:tblPrEx>
        <w:trPr>
          <w:trHeight w:val="585"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3944F96C">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证券市值与资金账户可用余额（不含融资融券客户信用证券账户内的证券市值和信用资金账户内的资金）人民币50万元以上</w:t>
            </w:r>
          </w:p>
        </w:tc>
        <w:tc>
          <w:tcPr>
            <w:tcW w:w="1600" w:type="dxa"/>
            <w:tcBorders>
              <w:top w:val="nil"/>
              <w:left w:val="nil"/>
              <w:bottom w:val="single" w:color="auto" w:sz="4" w:space="0"/>
              <w:right w:val="single" w:color="auto" w:sz="4" w:space="0"/>
            </w:tcBorders>
            <w:vAlign w:val="center"/>
          </w:tcPr>
          <w:p w14:paraId="22D76696">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　</w:t>
            </w:r>
          </w:p>
        </w:tc>
      </w:tr>
      <w:tr w14:paraId="1E80CB0F">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79528A8F">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三、期权基础知识水平</w:t>
            </w:r>
          </w:p>
        </w:tc>
      </w:tr>
      <w:tr w14:paraId="4CEAC44B">
        <w:tblPrEx>
          <w:tblCellMar>
            <w:top w:w="0" w:type="dxa"/>
            <w:left w:w="108" w:type="dxa"/>
            <w:bottom w:w="0" w:type="dxa"/>
            <w:right w:w="108" w:type="dxa"/>
          </w:tblCellMar>
        </w:tblPrEx>
        <w:trPr>
          <w:trHeight w:val="270" w:hRule="atLeast"/>
        </w:trPr>
        <w:tc>
          <w:tcPr>
            <w:tcW w:w="4800" w:type="dxa"/>
            <w:vMerge w:val="restart"/>
            <w:tcBorders>
              <w:top w:val="nil"/>
              <w:left w:val="single" w:color="auto" w:sz="4" w:space="0"/>
              <w:bottom w:val="single" w:color="000000" w:sz="4" w:space="0"/>
              <w:right w:val="single" w:color="auto" w:sz="4" w:space="0"/>
            </w:tcBorders>
            <w:vAlign w:val="center"/>
          </w:tcPr>
          <w:p w14:paraId="7C679F4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期权知识测试成绩</w:t>
            </w:r>
          </w:p>
        </w:tc>
        <w:tc>
          <w:tcPr>
            <w:tcW w:w="2200" w:type="dxa"/>
            <w:tcBorders>
              <w:top w:val="nil"/>
              <w:left w:val="nil"/>
              <w:bottom w:val="single" w:color="auto" w:sz="4" w:space="0"/>
              <w:right w:val="single" w:color="auto" w:sz="4" w:space="0"/>
            </w:tcBorders>
            <w:vAlign w:val="center"/>
          </w:tcPr>
          <w:p w14:paraId="2A8BD89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一级知识测试通过</w:t>
            </w:r>
          </w:p>
        </w:tc>
        <w:tc>
          <w:tcPr>
            <w:tcW w:w="1600" w:type="dxa"/>
            <w:tcBorders>
              <w:top w:val="nil"/>
              <w:left w:val="nil"/>
              <w:bottom w:val="single" w:color="auto" w:sz="4" w:space="0"/>
              <w:right w:val="single" w:color="auto" w:sz="4" w:space="0"/>
            </w:tcBorders>
            <w:vAlign w:val="center"/>
          </w:tcPr>
          <w:p w14:paraId="50CC03BF">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0258E882">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5D6C0AF3">
            <w:pPr>
              <w:widowControl/>
              <w:jc w:val="left"/>
              <w:rPr>
                <w:rFonts w:hint="default" w:ascii="Times New Roman" w:hAnsi="Times New Roman" w:eastAsia="仿宋_GB2312" w:cs="Times New Roman"/>
                <w:color w:val="000000"/>
                <w:kern w:val="0"/>
                <w:szCs w:val="21"/>
              </w:rPr>
            </w:pPr>
          </w:p>
        </w:tc>
        <w:tc>
          <w:tcPr>
            <w:tcW w:w="2200" w:type="dxa"/>
            <w:tcBorders>
              <w:top w:val="nil"/>
              <w:left w:val="nil"/>
              <w:bottom w:val="single" w:color="auto" w:sz="4" w:space="0"/>
              <w:right w:val="single" w:color="auto" w:sz="4" w:space="0"/>
            </w:tcBorders>
            <w:vAlign w:val="center"/>
          </w:tcPr>
          <w:p w14:paraId="34E40BE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二级知识测试通过</w:t>
            </w:r>
          </w:p>
        </w:tc>
        <w:tc>
          <w:tcPr>
            <w:tcW w:w="1600" w:type="dxa"/>
            <w:tcBorders>
              <w:top w:val="nil"/>
              <w:left w:val="nil"/>
              <w:bottom w:val="single" w:color="auto" w:sz="4" w:space="0"/>
              <w:right w:val="single" w:color="auto" w:sz="4" w:space="0"/>
            </w:tcBorders>
            <w:vAlign w:val="center"/>
          </w:tcPr>
          <w:p w14:paraId="5E68ECB3">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00C92BB7">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3D527046">
            <w:pPr>
              <w:widowControl/>
              <w:jc w:val="left"/>
              <w:rPr>
                <w:rFonts w:hint="default" w:ascii="Times New Roman" w:hAnsi="Times New Roman" w:eastAsia="仿宋_GB2312" w:cs="Times New Roman"/>
                <w:color w:val="000000"/>
                <w:kern w:val="0"/>
                <w:szCs w:val="21"/>
              </w:rPr>
            </w:pPr>
          </w:p>
        </w:tc>
        <w:tc>
          <w:tcPr>
            <w:tcW w:w="2200" w:type="dxa"/>
            <w:tcBorders>
              <w:top w:val="nil"/>
              <w:left w:val="nil"/>
              <w:bottom w:val="single" w:color="auto" w:sz="4" w:space="0"/>
              <w:right w:val="single" w:color="auto" w:sz="4" w:space="0"/>
            </w:tcBorders>
            <w:vAlign w:val="center"/>
          </w:tcPr>
          <w:p w14:paraId="098D7B40">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三级知识测试通过</w:t>
            </w:r>
          </w:p>
        </w:tc>
        <w:tc>
          <w:tcPr>
            <w:tcW w:w="1600" w:type="dxa"/>
            <w:tcBorders>
              <w:top w:val="nil"/>
              <w:left w:val="nil"/>
              <w:bottom w:val="single" w:color="auto" w:sz="4" w:space="0"/>
              <w:right w:val="single" w:color="auto" w:sz="4" w:space="0"/>
            </w:tcBorders>
            <w:vAlign w:val="center"/>
          </w:tcPr>
          <w:p w14:paraId="5E98D978">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28E322BA">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0D5D19FD">
            <w:pPr>
              <w:widowControl/>
              <w:jc w:val="left"/>
              <w:rPr>
                <w:rFonts w:hint="default" w:ascii="Times New Roman" w:hAnsi="Times New Roman" w:eastAsia="仿宋_GB2312" w:cs="Times New Roman"/>
                <w:color w:val="000000"/>
                <w:kern w:val="0"/>
                <w:szCs w:val="21"/>
              </w:rPr>
            </w:pPr>
          </w:p>
        </w:tc>
        <w:tc>
          <w:tcPr>
            <w:tcW w:w="2200" w:type="dxa"/>
            <w:tcBorders>
              <w:top w:val="nil"/>
              <w:left w:val="nil"/>
              <w:bottom w:val="single" w:color="auto" w:sz="4" w:space="0"/>
              <w:right w:val="single" w:color="auto" w:sz="4" w:space="0"/>
            </w:tcBorders>
            <w:vAlign w:val="center"/>
          </w:tcPr>
          <w:p w14:paraId="7861483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综合知识测试通过</w:t>
            </w:r>
          </w:p>
        </w:tc>
        <w:tc>
          <w:tcPr>
            <w:tcW w:w="1600" w:type="dxa"/>
            <w:tcBorders>
              <w:top w:val="nil"/>
              <w:left w:val="nil"/>
              <w:bottom w:val="single" w:color="auto" w:sz="4" w:space="0"/>
              <w:right w:val="single" w:color="auto" w:sz="4" w:space="0"/>
            </w:tcBorders>
            <w:vAlign w:val="center"/>
          </w:tcPr>
          <w:p w14:paraId="52CCCA2E">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19985AA6">
        <w:tblPrEx>
          <w:tblCellMar>
            <w:top w:w="0" w:type="dxa"/>
            <w:left w:w="108" w:type="dxa"/>
            <w:bottom w:w="0" w:type="dxa"/>
            <w:right w:w="108" w:type="dxa"/>
          </w:tblCellMar>
        </w:tblPrEx>
        <w:trPr>
          <w:trHeight w:val="270" w:hRule="atLeast"/>
        </w:trPr>
        <w:tc>
          <w:tcPr>
            <w:tcW w:w="8600" w:type="dxa"/>
            <w:gridSpan w:val="3"/>
            <w:tcBorders>
              <w:top w:val="nil"/>
              <w:left w:val="single" w:color="auto" w:sz="4" w:space="0"/>
              <w:bottom w:val="single" w:color="000000" w:sz="4" w:space="0"/>
              <w:right w:val="single" w:color="auto" w:sz="4" w:space="0"/>
            </w:tcBorders>
            <w:vAlign w:val="center"/>
          </w:tcPr>
          <w:p w14:paraId="47741564">
            <w:pPr>
              <w:widowControl/>
              <w:jc w:val="left"/>
              <w:rPr>
                <w:rFonts w:hint="default" w:ascii="Times New Roman" w:hAnsi="Times New Roman" w:cs="Times New Roman"/>
                <w:color w:val="000000"/>
                <w:kern w:val="0"/>
                <w:sz w:val="22"/>
              </w:rPr>
            </w:pPr>
            <w:r>
              <w:rPr>
                <w:rFonts w:hint="eastAsia" w:ascii="宋体" w:hAnsi="宋体" w:cs="宋体"/>
                <w:b/>
                <w:bCs/>
                <w:color w:val="000000"/>
                <w:kern w:val="0"/>
                <w:sz w:val="22"/>
                <w:lang w:eastAsia="zh-CN"/>
              </w:rPr>
              <w:t>或有中国金融期货交易所交易编码</w:t>
            </w:r>
          </w:p>
        </w:tc>
      </w:tr>
      <w:tr w14:paraId="4EB3B05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6D937B9F">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四、风险评估</w:t>
            </w:r>
          </w:p>
        </w:tc>
      </w:tr>
      <w:tr w14:paraId="620FF2DE">
        <w:tblPrEx>
          <w:tblCellMar>
            <w:top w:w="0" w:type="dxa"/>
            <w:left w:w="108" w:type="dxa"/>
            <w:bottom w:w="0" w:type="dxa"/>
            <w:right w:w="108" w:type="dxa"/>
          </w:tblCellMar>
        </w:tblPrEx>
        <w:trPr>
          <w:trHeight w:val="377" w:hRule="atLeast"/>
        </w:trPr>
        <w:tc>
          <w:tcPr>
            <w:tcW w:w="7000" w:type="dxa"/>
            <w:gridSpan w:val="2"/>
            <w:tcBorders>
              <w:top w:val="nil"/>
              <w:left w:val="single" w:color="auto" w:sz="4" w:space="0"/>
              <w:right w:val="single" w:color="auto" w:sz="4" w:space="0"/>
            </w:tcBorders>
            <w:vAlign w:val="center"/>
          </w:tcPr>
          <w:p w14:paraId="3A30729E">
            <w:pPr>
              <w:widowControl/>
              <w:ind w:firstLine="1155" w:firstLineChars="550"/>
              <w:rPr>
                <w:rFonts w:hint="default" w:ascii="Times New Roman" w:hAnsi="Times New Roman" w:eastAsia="仿宋_GB2312" w:cs="Times New Roman"/>
                <w:color w:val="000000"/>
                <w:kern w:val="0"/>
                <w:sz w:val="18"/>
                <w:szCs w:val="21"/>
              </w:rPr>
            </w:pPr>
            <w:r>
              <w:rPr>
                <w:rFonts w:hint="default" w:ascii="Times New Roman" w:hAnsi="Times New Roman" w:eastAsia="仿宋_GB2312" w:cs="Times New Roman"/>
                <w:color w:val="000000"/>
                <w:kern w:val="0"/>
                <w:szCs w:val="21"/>
              </w:rPr>
              <w:t xml:space="preserve">  通过风险承受能力评估</w:t>
            </w:r>
          </w:p>
        </w:tc>
        <w:tc>
          <w:tcPr>
            <w:tcW w:w="1600" w:type="dxa"/>
            <w:tcBorders>
              <w:top w:val="nil"/>
              <w:left w:val="nil"/>
              <w:right w:val="single" w:color="auto" w:sz="4" w:space="0"/>
            </w:tcBorders>
            <w:vAlign w:val="center"/>
          </w:tcPr>
          <w:p w14:paraId="0032E22F">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67EE3842">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2C7388B3">
            <w:pPr>
              <w:widowControl/>
              <w:jc w:val="left"/>
              <w:rPr>
                <w:rFonts w:hint="default" w:ascii="Times New Roman" w:hAnsi="Times New Roman" w:cs="Times New Roman"/>
                <w:b/>
                <w:bCs/>
                <w:color w:val="000000"/>
                <w:kern w:val="0"/>
                <w:sz w:val="22"/>
              </w:rPr>
            </w:pPr>
            <w:r>
              <w:rPr>
                <w:rFonts w:hint="default" w:ascii="Times New Roman" w:hAnsi="Times New Roman" w:cs="Times New Roman"/>
                <w:b/>
                <w:bCs/>
                <w:color w:val="000000"/>
                <w:kern w:val="0"/>
                <w:sz w:val="22"/>
              </w:rPr>
              <w:t>五、不良诚信记录</w:t>
            </w:r>
          </w:p>
        </w:tc>
      </w:tr>
      <w:tr w14:paraId="50EC18A0">
        <w:tblPrEx>
          <w:tblCellMar>
            <w:top w:w="0" w:type="dxa"/>
            <w:left w:w="108" w:type="dxa"/>
            <w:bottom w:w="0" w:type="dxa"/>
            <w:right w:w="108" w:type="dxa"/>
          </w:tblCellMar>
        </w:tblPrEx>
        <w:trPr>
          <w:trHeight w:val="373" w:hRule="atLeast"/>
        </w:trPr>
        <w:tc>
          <w:tcPr>
            <w:tcW w:w="7000" w:type="dxa"/>
            <w:gridSpan w:val="2"/>
            <w:tcBorders>
              <w:top w:val="nil"/>
              <w:left w:val="single" w:color="auto" w:sz="4" w:space="0"/>
              <w:right w:val="single" w:color="auto" w:sz="4" w:space="0"/>
            </w:tcBorders>
            <w:vAlign w:val="center"/>
          </w:tcPr>
          <w:p w14:paraId="70D54AFE">
            <w:pPr>
              <w:widowControl/>
              <w:ind w:firstLine="1365" w:firstLineChars="650"/>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无不良诚信记录</w:t>
            </w:r>
          </w:p>
        </w:tc>
        <w:tc>
          <w:tcPr>
            <w:tcW w:w="1600" w:type="dxa"/>
            <w:tcBorders>
              <w:top w:val="nil"/>
              <w:left w:val="nil"/>
              <w:right w:val="single" w:color="auto" w:sz="4" w:space="0"/>
            </w:tcBorders>
            <w:vAlign w:val="center"/>
          </w:tcPr>
          <w:p w14:paraId="796BF332">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tc>
      </w:tr>
      <w:tr w14:paraId="116C90C4">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72919F8D">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本人承诺</w:t>
            </w:r>
          </w:p>
        </w:tc>
      </w:tr>
      <w:tr w14:paraId="2D918B8D">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021618EA">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1.本人对所提供相关证明材料的真实性负责，并自愿承担因材料不实导致的一切后果。</w:t>
            </w:r>
          </w:p>
        </w:tc>
      </w:tr>
      <w:tr w14:paraId="232D668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464DB02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2.本人不存在重大未申报的不良信用记录。</w:t>
            </w:r>
          </w:p>
        </w:tc>
      </w:tr>
      <w:tr w14:paraId="17B388D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51944EE7">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3.本人不存在证券市场禁入以及法律、行政法规、规章和上海证券交易所业务规则禁止</w:t>
            </w:r>
          </w:p>
        </w:tc>
      </w:tr>
      <w:tr w14:paraId="1C7DB7B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3351D22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从事期权交易的情形。</w:t>
            </w:r>
          </w:p>
        </w:tc>
      </w:tr>
      <w:tr w14:paraId="7EFCB36F">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01815E68">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4.本人身体健康，不存在不适宜从事期权交易的情形。</w:t>
            </w:r>
          </w:p>
        </w:tc>
      </w:tr>
      <w:tr w14:paraId="5A1C2DEA">
        <w:tblPrEx>
          <w:tblCellMar>
            <w:top w:w="0" w:type="dxa"/>
            <w:left w:w="108" w:type="dxa"/>
            <w:bottom w:w="0" w:type="dxa"/>
            <w:right w:w="108" w:type="dxa"/>
          </w:tblCellMar>
        </w:tblPrEx>
        <w:trPr>
          <w:trHeight w:val="285"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4342DC07">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 xml:space="preserve">投资者（签字）：                             </w:t>
            </w:r>
            <w:r>
              <w:rPr>
                <w:rFonts w:hint="default" w:ascii="Times New Roman" w:hAnsi="Times New Roman" w:eastAsia="仿宋_GB2312" w:cs="Times New Roman"/>
                <w:b/>
                <w:color w:val="000000"/>
                <w:kern w:val="0"/>
                <w:szCs w:val="21"/>
              </w:rPr>
              <w:t>日期：</w:t>
            </w:r>
          </w:p>
        </w:tc>
      </w:tr>
      <w:tr w14:paraId="2202435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4FFEAA8B">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 xml:space="preserve">分支机构开户经办人（签字）：              </w:t>
            </w:r>
          </w:p>
        </w:tc>
      </w:tr>
      <w:tr w14:paraId="4A3F68B8">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621D48A3">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日期：</w:t>
            </w:r>
          </w:p>
        </w:tc>
      </w:tr>
      <w:tr w14:paraId="64FD03AD">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1A4B923B">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 xml:space="preserve">分支机构负责人或其授权人（签字）：              </w:t>
            </w:r>
          </w:p>
        </w:tc>
      </w:tr>
      <w:tr w14:paraId="7589E50A">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792F7E92">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日期：</w:t>
            </w:r>
          </w:p>
        </w:tc>
      </w:tr>
      <w:tr w14:paraId="293D0795">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tcPr>
          <w:p w14:paraId="5EDBF042">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评估意见：</w:t>
            </w:r>
          </w:p>
        </w:tc>
      </w:tr>
      <w:tr w14:paraId="4EA53FDE">
        <w:tblPrEx>
          <w:tblCellMar>
            <w:top w:w="0" w:type="dxa"/>
            <w:left w:w="108" w:type="dxa"/>
            <w:bottom w:w="0" w:type="dxa"/>
            <w:right w:w="108" w:type="dxa"/>
          </w:tblCellMar>
        </w:tblPrEx>
        <w:trPr>
          <w:trHeight w:val="570" w:hRule="atLeast"/>
        </w:trPr>
        <w:tc>
          <w:tcPr>
            <w:tcW w:w="8600" w:type="dxa"/>
            <w:gridSpan w:val="3"/>
            <w:tcBorders>
              <w:top w:val="single" w:color="auto" w:sz="4" w:space="0"/>
              <w:left w:val="single" w:color="auto" w:sz="4" w:space="0"/>
              <w:bottom w:val="single" w:color="auto" w:sz="4" w:space="0"/>
              <w:right w:val="single" w:color="auto" w:sz="4" w:space="0"/>
            </w:tcBorders>
          </w:tcPr>
          <w:p w14:paraId="54F2DB50">
            <w:pPr>
              <w:widowControl/>
              <w:jc w:val="left"/>
              <w:rPr>
                <w:rFonts w:hint="default" w:ascii="Times New Roman" w:hAnsi="Times New Roman" w:eastAsia="仿宋_GB2312" w:cs="Times New Roman"/>
                <w:color w:val="000000"/>
                <w:kern w:val="0"/>
                <w:sz w:val="18"/>
                <w:szCs w:val="21"/>
              </w:rPr>
            </w:pPr>
            <w:r>
              <w:rPr>
                <w:rFonts w:hint="default" w:ascii="Times New Roman" w:hAnsi="Times New Roman" w:eastAsia="仿宋_GB2312" w:cs="Times New Roman"/>
                <w:color w:val="000000"/>
                <w:kern w:val="0"/>
                <w:szCs w:val="21"/>
              </w:rPr>
              <w:t>经综合考虑，建议授予投资者</w:t>
            </w:r>
            <w:r>
              <w:rPr>
                <w:rFonts w:ascii="Times New Roman" w:hAnsi="Times New Roman" w:eastAsia="仿宋_GB2312" w:cs="Times New Roman"/>
                <w:color w:val="000000"/>
                <w:kern w:val="0"/>
                <w:szCs w:val="21"/>
                <w:u w:val="single"/>
              </w:rPr>
              <w:t xml:space="preserve">    </w:t>
            </w:r>
            <w:r>
              <w:rPr>
                <w:rFonts w:hint="default" w:ascii="Times New Roman" w:hAnsi="Times New Roman" w:eastAsia="仿宋_GB2312" w:cs="Times New Roman"/>
                <w:color w:val="000000"/>
                <w:kern w:val="0"/>
                <w:szCs w:val="21"/>
              </w:rPr>
              <w:t>级股票期权交易权限。</w:t>
            </w:r>
          </w:p>
        </w:tc>
      </w:tr>
      <w:tr w14:paraId="66B2759A">
        <w:tblPrEx>
          <w:tblCellMar>
            <w:top w:w="0" w:type="dxa"/>
            <w:left w:w="108" w:type="dxa"/>
            <w:bottom w:w="0" w:type="dxa"/>
            <w:right w:w="108" w:type="dxa"/>
          </w:tblCellMar>
        </w:tblPrEx>
        <w:trPr>
          <w:trHeight w:val="285" w:hRule="atLeast"/>
        </w:trPr>
        <w:tc>
          <w:tcPr>
            <w:tcW w:w="8600" w:type="dxa"/>
            <w:gridSpan w:val="3"/>
            <w:tcBorders>
              <w:top w:val="single" w:color="auto" w:sz="4" w:space="0"/>
              <w:left w:val="single" w:color="auto" w:sz="4" w:space="0"/>
              <w:bottom w:val="single" w:color="auto" w:sz="4" w:space="0"/>
              <w:right w:val="single" w:color="auto" w:sz="4" w:space="0"/>
            </w:tcBorders>
          </w:tcPr>
          <w:p w14:paraId="6B3B2BA7">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提示：评估意见不构成投资建议，亦不构成对投资者的获利保证。</w:t>
            </w:r>
          </w:p>
        </w:tc>
      </w:tr>
    </w:tbl>
    <w:p w14:paraId="369FA854">
      <w:pPr>
        <w:rPr>
          <w:rFonts w:hint="default" w:ascii="Times New Roman" w:hAnsi="Times New Roman"/>
        </w:rPr>
      </w:pPr>
      <w:bookmarkStart w:id="577" w:name="_Toc215740343"/>
      <w:bookmarkStart w:id="578" w:name="_Toc452017061"/>
      <w:bookmarkStart w:id="579" w:name="_Toc23947199"/>
      <w:bookmarkStart w:id="580" w:name="附件三：大户持仓报告表"/>
      <w:r>
        <w:rPr>
          <w:rFonts w:hint="default" w:ascii="Times New Roman" w:hAnsi="Times New Roman"/>
        </w:rPr>
        <w:br w:type="page"/>
      </w:r>
    </w:p>
    <w:p w14:paraId="06F181FA">
      <w:pPr>
        <w:pStyle w:val="4"/>
        <w:rPr>
          <w:rFonts w:ascii="Times New Roman" w:hAnsi="Times New Roman"/>
        </w:rPr>
      </w:pPr>
      <w:r>
        <w:rPr>
          <w:rFonts w:hint="default" w:ascii="Times New Roman" w:hAnsi="Times New Roman"/>
        </w:rPr>
        <w:t>附件</w:t>
      </w:r>
      <w:r>
        <w:rPr>
          <w:rFonts w:hint="eastAsia" w:ascii="Times New Roman" w:hAnsi="Times New Roman"/>
          <w:lang w:eastAsia="zh-CN"/>
        </w:rPr>
        <w:t>三</w:t>
      </w:r>
      <w:bookmarkEnd w:id="577"/>
      <w:bookmarkEnd w:id="578"/>
      <w:bookmarkEnd w:id="579"/>
    </w:p>
    <w:p w14:paraId="11C89866">
      <w:pPr>
        <w:spacing w:before="156" w:beforeLines="50" w:after="156" w:afterLines="50"/>
        <w:jc w:val="center"/>
        <w:rPr>
          <w:rFonts w:ascii="Times New Roman" w:hAnsi="Times New Roman"/>
          <w:szCs w:val="28"/>
        </w:rPr>
      </w:pPr>
      <w:bookmarkStart w:id="581" w:name="_Toc14132"/>
      <w:bookmarkStart w:id="582" w:name="_Toc23947200"/>
      <w:bookmarkStart w:id="583" w:name="_Toc7256"/>
      <w:bookmarkStart w:id="584" w:name="_Toc452017062"/>
      <w:r>
        <w:rPr>
          <w:rFonts w:hint="eastAsia" w:ascii="Times New Roman" w:hAnsi="Times New Roman" w:eastAsia="仿宋_GB2312"/>
          <w:b/>
          <w:sz w:val="28"/>
          <w:szCs w:val="28"/>
        </w:rPr>
        <w:t>大户持仓报告表</w:t>
      </w:r>
      <w:bookmarkEnd w:id="581"/>
      <w:bookmarkEnd w:id="582"/>
      <w:bookmarkEnd w:id="583"/>
      <w:bookmarkEnd w:id="584"/>
    </w:p>
    <w:bookmarkEnd w:id="580"/>
    <w:tbl>
      <w:tblPr>
        <w:tblStyle w:val="31"/>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093"/>
        <w:gridCol w:w="1112"/>
        <w:gridCol w:w="1420"/>
        <w:gridCol w:w="951"/>
        <w:gridCol w:w="567"/>
        <w:gridCol w:w="993"/>
        <w:gridCol w:w="1751"/>
      </w:tblGrid>
      <w:tr w14:paraId="5830E9E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209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FC5D501">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投资者（证券公司）名称</w:t>
            </w:r>
          </w:p>
        </w:tc>
        <w:tc>
          <w:tcPr>
            <w:tcW w:w="6794"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1802CF89">
            <w:pPr>
              <w:widowControl/>
              <w:spacing w:before="100" w:beforeAutospacing="1" w:after="100" w:afterAutospacing="1"/>
              <w:rPr>
                <w:rFonts w:ascii="Times New Roman" w:hAnsi="Times New Roman" w:eastAsia="仿宋_GB2312" w:cs="Times New Roman"/>
                <w:kern w:val="0"/>
                <w:sz w:val="24"/>
                <w:szCs w:val="28"/>
              </w:rPr>
            </w:pPr>
          </w:p>
        </w:tc>
      </w:tr>
      <w:tr w14:paraId="630B3D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9C715F6">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合约账户</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A08899A">
            <w:pPr>
              <w:widowControl/>
              <w:spacing w:before="100" w:beforeAutospacing="1" w:after="100" w:afterAutospacing="1"/>
              <w:rPr>
                <w:rFonts w:ascii="Times New Roman" w:hAnsi="Times New Roman" w:eastAsia="仿宋_GB2312" w:cs="Times New Roman"/>
                <w:kern w:val="0"/>
                <w:sz w:val="24"/>
                <w:szCs w:val="28"/>
              </w:rPr>
            </w:pPr>
          </w:p>
        </w:tc>
        <w:tc>
          <w:tcPr>
            <w:tcW w:w="4262" w:type="dxa"/>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4B32BD4">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□普通 　□套保  □自营  □做市商</w:t>
            </w:r>
          </w:p>
        </w:tc>
      </w:tr>
      <w:tr w14:paraId="71DDB07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7D3DBFE">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联系地址</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642E937">
            <w:pPr>
              <w:widowControl/>
              <w:spacing w:before="100" w:beforeAutospacing="1" w:after="100" w:afterAutospacing="1"/>
              <w:rPr>
                <w:rFonts w:ascii="Times New Roman" w:hAnsi="Times New Roman" w:eastAsia="仿宋_GB2312" w:cs="Times New Roman"/>
                <w:kern w:val="0"/>
                <w:sz w:val="24"/>
                <w:szCs w:val="28"/>
              </w:rPr>
            </w:pPr>
          </w:p>
        </w:tc>
        <w:tc>
          <w:tcPr>
            <w:tcW w:w="251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EA49522">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联系电话</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EDADAE4">
            <w:pPr>
              <w:widowControl/>
              <w:spacing w:before="100" w:beforeAutospacing="1" w:after="100" w:afterAutospacing="1"/>
              <w:rPr>
                <w:rFonts w:ascii="Times New Roman" w:hAnsi="Times New Roman" w:eastAsia="仿宋_GB2312" w:cs="Times New Roman"/>
                <w:kern w:val="0"/>
                <w:sz w:val="24"/>
                <w:szCs w:val="28"/>
              </w:rPr>
            </w:pPr>
          </w:p>
        </w:tc>
      </w:tr>
      <w:tr w14:paraId="042B4A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82109C3">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合约编码1</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3062C61">
            <w:pPr>
              <w:widowControl/>
              <w:spacing w:before="100" w:beforeAutospacing="1" w:after="100" w:afterAutospacing="1"/>
              <w:rPr>
                <w:rFonts w:ascii="Times New Roman" w:hAnsi="Times New Roman" w:eastAsia="仿宋_GB2312" w:cs="Times New Roman"/>
                <w:kern w:val="0"/>
                <w:sz w:val="24"/>
                <w:szCs w:val="28"/>
              </w:rPr>
            </w:pPr>
          </w:p>
        </w:tc>
        <w:tc>
          <w:tcPr>
            <w:tcW w:w="251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1E1F4FF">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3AAE51F">
            <w:pPr>
              <w:widowControl/>
              <w:spacing w:before="100" w:beforeAutospacing="1" w:after="100" w:afterAutospacing="1"/>
              <w:rPr>
                <w:rFonts w:ascii="Times New Roman" w:hAnsi="Times New Roman" w:eastAsia="仿宋_GB2312" w:cs="Times New Roman"/>
                <w:kern w:val="0"/>
                <w:sz w:val="24"/>
                <w:szCs w:val="28"/>
              </w:rPr>
            </w:pPr>
          </w:p>
        </w:tc>
      </w:tr>
      <w:tr w14:paraId="5BAFCE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BD03316">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1523AE5">
            <w:pPr>
              <w:widowControl/>
              <w:spacing w:before="100" w:beforeAutospacing="1" w:after="100" w:afterAutospacing="1"/>
              <w:rPr>
                <w:rFonts w:ascii="Times New Roman" w:hAnsi="Times New Roman" w:eastAsia="仿宋_GB2312" w:cs="Times New Roman"/>
                <w:kern w:val="0"/>
                <w:sz w:val="24"/>
                <w:szCs w:val="28"/>
              </w:rPr>
            </w:pP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94B3AA">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48FBA8E">
            <w:pPr>
              <w:widowControl/>
              <w:spacing w:before="100" w:beforeAutospacing="1" w:after="100" w:afterAutospacing="1"/>
              <w:rPr>
                <w:rFonts w:ascii="Times New Roman" w:hAnsi="Times New Roman" w:eastAsia="仿宋_GB2312" w:cs="Times New Roman"/>
                <w:kern w:val="0"/>
                <w:sz w:val="24"/>
                <w:szCs w:val="28"/>
              </w:rPr>
            </w:pPr>
          </w:p>
        </w:tc>
        <w:tc>
          <w:tcPr>
            <w:tcW w:w="156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2A5F96D">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57AD8EB">
            <w:pPr>
              <w:widowControl/>
              <w:spacing w:before="100" w:beforeAutospacing="1" w:after="100" w:afterAutospacing="1"/>
              <w:rPr>
                <w:rFonts w:ascii="Times New Roman" w:hAnsi="Times New Roman" w:eastAsia="仿宋_GB2312" w:cs="Times New Roman"/>
                <w:kern w:val="0"/>
                <w:sz w:val="24"/>
                <w:szCs w:val="28"/>
              </w:rPr>
            </w:pPr>
          </w:p>
        </w:tc>
      </w:tr>
      <w:tr w14:paraId="06A67D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36" w:hRule="atLeast"/>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1711704">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967FD9E">
            <w:pPr>
              <w:widowControl/>
              <w:spacing w:before="100" w:beforeAutospacing="1" w:after="100" w:afterAutospacing="1"/>
              <w:rPr>
                <w:rFonts w:ascii="Times New Roman" w:hAnsi="Times New Roman" w:eastAsia="仿宋_GB2312" w:cs="Times New Roman"/>
                <w:kern w:val="0"/>
                <w:sz w:val="24"/>
                <w:szCs w:val="28"/>
              </w:rPr>
            </w:pPr>
          </w:p>
          <w:p w14:paraId="0A3C60E2">
            <w:pPr>
              <w:keepNext/>
              <w:keepLines/>
              <w:widowControl/>
              <w:spacing w:before="100" w:beforeAutospacing="1" w:after="100" w:afterAutospacing="1"/>
              <w:outlineLvl w:val="2"/>
              <w:rPr>
                <w:rFonts w:ascii="Times New Roman" w:hAnsi="Times New Roman" w:eastAsia="仿宋_GB2312" w:cs="Times New Roman"/>
                <w:kern w:val="0"/>
                <w:sz w:val="24"/>
                <w:szCs w:val="28"/>
              </w:rPr>
            </w:pPr>
          </w:p>
        </w:tc>
      </w:tr>
      <w:tr w14:paraId="1498009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3441C11">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合约编码2</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6F8AFF6">
            <w:pPr>
              <w:widowControl/>
              <w:spacing w:before="100" w:beforeAutospacing="1" w:after="100" w:afterAutospacing="1"/>
              <w:rPr>
                <w:rFonts w:ascii="Times New Roman" w:hAnsi="Times New Roman" w:eastAsia="仿宋_GB2312" w:cs="Times New Roman"/>
                <w:kern w:val="0"/>
                <w:sz w:val="24"/>
                <w:szCs w:val="28"/>
              </w:rPr>
            </w:pPr>
          </w:p>
        </w:tc>
        <w:tc>
          <w:tcPr>
            <w:tcW w:w="251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E61E6CC">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737398A">
            <w:pPr>
              <w:widowControl/>
              <w:spacing w:before="100" w:beforeAutospacing="1" w:after="100" w:afterAutospacing="1"/>
              <w:rPr>
                <w:rFonts w:ascii="Times New Roman" w:hAnsi="Times New Roman" w:eastAsia="仿宋_GB2312" w:cs="Times New Roman"/>
                <w:kern w:val="0"/>
                <w:sz w:val="24"/>
                <w:szCs w:val="28"/>
              </w:rPr>
            </w:pPr>
          </w:p>
        </w:tc>
      </w:tr>
      <w:tr w14:paraId="5772146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DE54759">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DB2ADBC">
            <w:pPr>
              <w:widowControl/>
              <w:spacing w:before="100" w:beforeAutospacing="1" w:after="100" w:afterAutospacing="1"/>
              <w:rPr>
                <w:rFonts w:ascii="Times New Roman" w:hAnsi="Times New Roman" w:eastAsia="仿宋_GB2312" w:cs="Times New Roman"/>
                <w:kern w:val="0"/>
                <w:sz w:val="24"/>
                <w:szCs w:val="28"/>
              </w:rPr>
            </w:pP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16E565D">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A8D8CC6">
            <w:pPr>
              <w:widowControl/>
              <w:spacing w:before="100" w:beforeAutospacing="1" w:after="100" w:afterAutospacing="1"/>
              <w:rPr>
                <w:rFonts w:ascii="Times New Roman" w:hAnsi="Times New Roman" w:eastAsia="仿宋_GB2312" w:cs="Times New Roman"/>
                <w:kern w:val="0"/>
                <w:sz w:val="24"/>
                <w:szCs w:val="28"/>
              </w:rPr>
            </w:pPr>
          </w:p>
        </w:tc>
        <w:tc>
          <w:tcPr>
            <w:tcW w:w="156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5C8CE27">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D76D912">
            <w:pPr>
              <w:widowControl/>
              <w:spacing w:before="100" w:beforeAutospacing="1" w:after="100" w:afterAutospacing="1"/>
              <w:rPr>
                <w:rFonts w:ascii="Times New Roman" w:hAnsi="Times New Roman" w:eastAsia="仿宋_GB2312" w:cs="Times New Roman"/>
                <w:kern w:val="0"/>
                <w:sz w:val="24"/>
                <w:szCs w:val="28"/>
              </w:rPr>
            </w:pPr>
          </w:p>
        </w:tc>
      </w:tr>
      <w:tr w14:paraId="3D260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731" w:hRule="atLeast"/>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1DFEA2A">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FF0C21E">
            <w:pPr>
              <w:widowControl/>
              <w:spacing w:before="100" w:beforeAutospacing="1" w:after="100" w:afterAutospacing="1"/>
              <w:rPr>
                <w:rFonts w:ascii="Times New Roman" w:hAnsi="Times New Roman" w:eastAsia="仿宋_GB2312" w:cs="Times New Roman"/>
                <w:kern w:val="0"/>
                <w:sz w:val="24"/>
                <w:szCs w:val="28"/>
              </w:rPr>
            </w:pPr>
          </w:p>
          <w:p w14:paraId="0234C40F">
            <w:pPr>
              <w:keepNext/>
              <w:keepLines/>
              <w:widowControl/>
              <w:spacing w:before="100" w:beforeAutospacing="1" w:after="100" w:afterAutospacing="1"/>
              <w:outlineLvl w:val="2"/>
              <w:rPr>
                <w:rFonts w:ascii="Times New Roman" w:hAnsi="Times New Roman" w:eastAsia="仿宋_GB2312" w:cs="Times New Roman"/>
                <w:kern w:val="0"/>
                <w:sz w:val="24"/>
                <w:szCs w:val="28"/>
              </w:rPr>
            </w:pPr>
          </w:p>
        </w:tc>
      </w:tr>
      <w:tr w14:paraId="710B54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5BC54B6">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合约编码3</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E9D35DB">
            <w:pPr>
              <w:widowControl/>
              <w:spacing w:before="100" w:beforeAutospacing="1" w:after="100" w:afterAutospacing="1"/>
              <w:rPr>
                <w:rFonts w:ascii="Times New Roman" w:hAnsi="Times New Roman" w:eastAsia="仿宋_GB2312" w:cs="Times New Roman"/>
                <w:kern w:val="0"/>
                <w:sz w:val="24"/>
                <w:szCs w:val="28"/>
              </w:rPr>
            </w:pPr>
          </w:p>
        </w:tc>
        <w:tc>
          <w:tcPr>
            <w:tcW w:w="251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2A41B6F">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A6C6C61">
            <w:pPr>
              <w:widowControl/>
              <w:spacing w:before="100" w:beforeAutospacing="1" w:after="100" w:afterAutospacing="1"/>
              <w:rPr>
                <w:rFonts w:ascii="Times New Roman" w:hAnsi="Times New Roman" w:eastAsia="仿宋_GB2312" w:cs="Times New Roman"/>
                <w:kern w:val="0"/>
                <w:sz w:val="24"/>
                <w:szCs w:val="28"/>
              </w:rPr>
            </w:pPr>
          </w:p>
        </w:tc>
      </w:tr>
      <w:tr w14:paraId="675C4D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C55017C">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CBBC28">
            <w:pPr>
              <w:widowControl/>
              <w:spacing w:before="100" w:beforeAutospacing="1" w:after="100" w:afterAutospacing="1"/>
              <w:rPr>
                <w:rFonts w:ascii="Times New Roman" w:hAnsi="Times New Roman" w:eastAsia="仿宋_GB2312" w:cs="Times New Roman"/>
                <w:kern w:val="0"/>
                <w:sz w:val="24"/>
                <w:szCs w:val="28"/>
              </w:rPr>
            </w:pP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39725C4">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B5041B7">
            <w:pPr>
              <w:widowControl/>
              <w:spacing w:before="100" w:beforeAutospacing="1" w:after="100" w:afterAutospacing="1"/>
              <w:rPr>
                <w:rFonts w:ascii="Times New Roman" w:hAnsi="Times New Roman" w:eastAsia="仿宋_GB2312" w:cs="Times New Roman"/>
                <w:kern w:val="0"/>
                <w:sz w:val="24"/>
                <w:szCs w:val="28"/>
              </w:rPr>
            </w:pPr>
          </w:p>
        </w:tc>
        <w:tc>
          <w:tcPr>
            <w:tcW w:w="156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06A0BA">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810B87C">
            <w:pPr>
              <w:widowControl/>
              <w:spacing w:before="100" w:beforeAutospacing="1" w:after="100" w:afterAutospacing="1"/>
              <w:rPr>
                <w:rFonts w:ascii="Times New Roman" w:hAnsi="Times New Roman" w:eastAsia="仿宋_GB2312" w:cs="Times New Roman"/>
                <w:kern w:val="0"/>
                <w:sz w:val="24"/>
                <w:szCs w:val="28"/>
              </w:rPr>
            </w:pPr>
          </w:p>
        </w:tc>
      </w:tr>
      <w:tr w14:paraId="3DE4E99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89FF90A">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2C6F55E">
            <w:pPr>
              <w:widowControl/>
              <w:spacing w:before="100" w:beforeAutospacing="1" w:after="100" w:afterAutospacing="1"/>
              <w:rPr>
                <w:rFonts w:ascii="Times New Roman" w:hAnsi="Times New Roman" w:eastAsia="仿宋_GB2312" w:cs="Times New Roman"/>
                <w:kern w:val="0"/>
                <w:sz w:val="24"/>
                <w:szCs w:val="28"/>
              </w:rPr>
            </w:pPr>
          </w:p>
          <w:p w14:paraId="47A39B8F">
            <w:pPr>
              <w:keepNext/>
              <w:keepLines/>
              <w:widowControl/>
              <w:spacing w:before="100" w:beforeAutospacing="1" w:after="100" w:afterAutospacing="1"/>
              <w:outlineLvl w:val="2"/>
              <w:rPr>
                <w:rFonts w:ascii="Times New Roman" w:hAnsi="Times New Roman" w:eastAsia="仿宋_GB2312" w:cs="Times New Roman"/>
                <w:kern w:val="0"/>
                <w:sz w:val="24"/>
                <w:szCs w:val="28"/>
              </w:rPr>
            </w:pPr>
          </w:p>
        </w:tc>
      </w:tr>
      <w:tr w14:paraId="1ED0F28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FDC1BF6">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总持仓保证金</w:t>
            </w:r>
          </w:p>
        </w:tc>
        <w:tc>
          <w:tcPr>
            <w:tcW w:w="11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67A622E">
            <w:pPr>
              <w:widowControl/>
              <w:spacing w:before="100" w:beforeAutospacing="1" w:after="100" w:afterAutospacing="1"/>
              <w:rPr>
                <w:rFonts w:ascii="Times New Roman" w:hAnsi="Times New Roman" w:eastAsia="仿宋_GB2312" w:cs="Times New Roman"/>
                <w:kern w:val="0"/>
                <w:sz w:val="24"/>
                <w:szCs w:val="28"/>
              </w:rPr>
            </w:pP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1E98711">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资金规模</w:t>
            </w:r>
          </w:p>
        </w:tc>
        <w:tc>
          <w:tcPr>
            <w:tcW w:w="9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9578D0B">
            <w:pPr>
              <w:widowControl/>
              <w:spacing w:before="100" w:beforeAutospacing="1" w:after="100" w:afterAutospacing="1"/>
              <w:rPr>
                <w:rFonts w:ascii="Times New Roman" w:hAnsi="Times New Roman" w:eastAsia="仿宋_GB2312" w:cs="Times New Roman"/>
                <w:kern w:val="0"/>
                <w:sz w:val="24"/>
                <w:szCs w:val="28"/>
              </w:rPr>
            </w:pPr>
          </w:p>
        </w:tc>
        <w:tc>
          <w:tcPr>
            <w:tcW w:w="156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2932C0">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实际控制人</w:t>
            </w:r>
          </w:p>
        </w:tc>
        <w:tc>
          <w:tcPr>
            <w:tcW w:w="17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AB615A7">
            <w:pPr>
              <w:widowControl/>
              <w:spacing w:before="100" w:beforeAutospacing="1" w:after="100" w:afterAutospacing="1"/>
              <w:rPr>
                <w:rFonts w:ascii="Times New Roman" w:hAnsi="Times New Roman" w:eastAsia="仿宋_GB2312" w:cs="Times New Roman"/>
                <w:kern w:val="0"/>
                <w:sz w:val="24"/>
                <w:szCs w:val="28"/>
              </w:rPr>
            </w:pPr>
          </w:p>
        </w:tc>
      </w:tr>
      <w:tr w14:paraId="3BA541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683D34D">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证券担保物情况</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85FB2C9">
            <w:pPr>
              <w:keepNext/>
              <w:keepLines/>
              <w:widowControl/>
              <w:spacing w:before="100" w:beforeAutospacing="1" w:after="100" w:afterAutospacing="1"/>
              <w:outlineLvl w:val="2"/>
              <w:rPr>
                <w:rFonts w:ascii="Times New Roman" w:hAnsi="Times New Roman" w:eastAsia="仿宋_GB2312" w:cs="Times New Roman"/>
                <w:kern w:val="0"/>
                <w:sz w:val="24"/>
                <w:szCs w:val="28"/>
              </w:rPr>
            </w:pPr>
          </w:p>
        </w:tc>
      </w:tr>
      <w:tr w14:paraId="37045E0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EF7EB50">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持有其他期货期权品种情况说明</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F922528">
            <w:pPr>
              <w:keepNext/>
              <w:keepLines/>
              <w:widowControl/>
              <w:spacing w:before="100" w:beforeAutospacing="1" w:after="100" w:afterAutospacing="1"/>
              <w:outlineLvl w:val="2"/>
              <w:rPr>
                <w:rFonts w:ascii="Times New Roman" w:hAnsi="Times New Roman" w:eastAsia="仿宋_GB2312" w:cs="Times New Roman"/>
                <w:kern w:val="0"/>
                <w:sz w:val="24"/>
                <w:szCs w:val="28"/>
              </w:rPr>
            </w:pPr>
          </w:p>
        </w:tc>
      </w:tr>
      <w:tr w14:paraId="23A69BD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FB40E6F">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资金来源</w:t>
            </w:r>
          </w:p>
        </w:tc>
        <w:tc>
          <w:tcPr>
            <w:tcW w:w="6794"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4B0B1FF">
            <w:pPr>
              <w:widowControl/>
              <w:spacing w:before="100" w:beforeAutospacing="1" w:after="100" w:afterAutospacing="1"/>
              <w:rPr>
                <w:rFonts w:ascii="Times New Roman" w:hAnsi="Times New Roman" w:eastAsia="仿宋_GB2312" w:cs="Times New Roman"/>
                <w:kern w:val="0"/>
                <w:sz w:val="24"/>
                <w:szCs w:val="28"/>
              </w:rPr>
            </w:pPr>
          </w:p>
          <w:p w14:paraId="7DB74EF1">
            <w:pPr>
              <w:widowControl/>
              <w:spacing w:before="100" w:beforeAutospacing="1" w:after="100" w:afterAutospacing="1"/>
              <w:rPr>
                <w:rFonts w:ascii="Times New Roman" w:hAnsi="Times New Roman" w:eastAsia="仿宋_GB2312" w:cs="Times New Roman"/>
                <w:kern w:val="0"/>
                <w:sz w:val="24"/>
                <w:szCs w:val="28"/>
              </w:rPr>
            </w:pPr>
          </w:p>
        </w:tc>
      </w:tr>
      <w:tr w14:paraId="70B255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8887"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1C895F6">
            <w:pPr>
              <w:widowControl/>
              <w:spacing w:before="100" w:beforeAutospacing="1" w:after="100" w:afterAutospacing="1"/>
              <w:ind w:firstLine="360"/>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本人（公司）保证以上报告内容的真实性和准确性，不存在任何故意虚假或者遗漏。</w:t>
            </w:r>
          </w:p>
          <w:p w14:paraId="6C3FBB34">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报告人签名：　　　　　　　　　　　　　　　　报告日期：　　　年　 月　 日</w:t>
            </w:r>
          </w:p>
        </w:tc>
      </w:tr>
      <w:tr w14:paraId="71CF88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94C6C24">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证券公司名称</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A219017">
            <w:pPr>
              <w:widowControl/>
              <w:spacing w:before="100" w:beforeAutospacing="1" w:after="100" w:afterAutospacing="1"/>
              <w:rPr>
                <w:rFonts w:ascii="Times New Roman" w:hAnsi="Times New Roman" w:eastAsia="仿宋_GB2312" w:cs="Times New Roman"/>
                <w:kern w:val="0"/>
                <w:sz w:val="24"/>
                <w:szCs w:val="28"/>
              </w:rPr>
            </w:pPr>
          </w:p>
        </w:tc>
        <w:tc>
          <w:tcPr>
            <w:tcW w:w="1518"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5AF33F5">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证券公司代码</w:t>
            </w:r>
          </w:p>
        </w:tc>
        <w:tc>
          <w:tcPr>
            <w:tcW w:w="274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6384FA9">
            <w:pPr>
              <w:widowControl/>
              <w:spacing w:before="100" w:beforeAutospacing="1" w:after="100" w:afterAutospacing="1"/>
              <w:rPr>
                <w:rFonts w:ascii="Times New Roman" w:hAnsi="Times New Roman" w:eastAsia="仿宋_GB2312" w:cs="Times New Roman"/>
                <w:kern w:val="0"/>
                <w:sz w:val="24"/>
                <w:szCs w:val="28"/>
              </w:rPr>
            </w:pPr>
          </w:p>
        </w:tc>
      </w:tr>
      <w:tr w14:paraId="32C9CE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47F83DB">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投资者开户日期</w:t>
            </w:r>
          </w:p>
        </w:tc>
        <w:tc>
          <w:tcPr>
            <w:tcW w:w="2532"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9423F45">
            <w:pPr>
              <w:widowControl/>
              <w:spacing w:before="100" w:beforeAutospacing="1" w:after="100" w:afterAutospacing="1"/>
              <w:rPr>
                <w:rFonts w:ascii="Times New Roman" w:hAnsi="Times New Roman" w:eastAsia="仿宋_GB2312" w:cs="Times New Roman"/>
                <w:kern w:val="0"/>
                <w:sz w:val="24"/>
                <w:szCs w:val="28"/>
              </w:rPr>
            </w:pPr>
          </w:p>
        </w:tc>
        <w:tc>
          <w:tcPr>
            <w:tcW w:w="1518"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D93436D">
            <w:pPr>
              <w:widowControl/>
              <w:spacing w:before="100" w:beforeAutospacing="1" w:after="100" w:afterAutospacing="1"/>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投资者交易方式</w:t>
            </w:r>
          </w:p>
        </w:tc>
        <w:tc>
          <w:tcPr>
            <w:tcW w:w="274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9A67911">
            <w:pPr>
              <w:widowControl/>
              <w:spacing w:before="100" w:beforeAutospacing="1" w:after="100" w:afterAutospacing="1"/>
              <w:rPr>
                <w:rFonts w:ascii="Times New Roman" w:hAnsi="Times New Roman" w:eastAsia="仿宋_GB2312" w:cs="Times New Roman"/>
                <w:kern w:val="0"/>
                <w:sz w:val="24"/>
                <w:szCs w:val="28"/>
              </w:rPr>
            </w:pPr>
          </w:p>
        </w:tc>
      </w:tr>
      <w:tr w14:paraId="5F7120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8887"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B1F7D1D">
            <w:pPr>
              <w:widowControl/>
              <w:spacing w:before="100" w:beforeAutospacing="1" w:after="100" w:afterAutospacing="1"/>
              <w:ind w:firstLine="360"/>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经审核，本公司保证本报告所有内容的真实性和准确性，不存在任何隐瞒或者遗漏。</w:t>
            </w:r>
          </w:p>
          <w:p w14:paraId="3370FA4D">
            <w:pPr>
              <w:widowControl/>
              <w:spacing w:before="100" w:beforeAutospacing="1" w:after="100" w:afterAutospacing="1"/>
              <w:rPr>
                <w:rFonts w:ascii="Times New Roman" w:hAnsi="Times New Roman" w:eastAsia="仿宋_GB2312" w:cs="Times New Roman"/>
                <w:kern w:val="0"/>
                <w:sz w:val="24"/>
                <w:szCs w:val="28"/>
              </w:rPr>
            </w:pPr>
          </w:p>
          <w:p w14:paraId="1EDA3084">
            <w:pPr>
              <w:widowControl/>
              <w:spacing w:before="100" w:beforeAutospacing="1" w:after="100" w:afterAutospacing="1"/>
              <w:jc w:val="right"/>
              <w:rPr>
                <w:rFonts w:ascii="Times New Roman" w:hAnsi="Times New Roman" w:eastAsia="仿宋_GB2312" w:cs="Times New Roman"/>
                <w:kern w:val="0"/>
                <w:sz w:val="24"/>
                <w:szCs w:val="28"/>
              </w:rPr>
            </w:pPr>
            <w:r>
              <w:rPr>
                <w:rFonts w:hint="default" w:ascii="Times New Roman" w:hAnsi="Times New Roman" w:eastAsia="仿宋_GB2312" w:cs="Times New Roman"/>
                <w:kern w:val="0"/>
                <w:sz w:val="24"/>
                <w:szCs w:val="28"/>
              </w:rPr>
              <w:t>证券公司单位盖章：　　　　　　　　　　　　　　报告日期：　　年　 月　 日</w:t>
            </w:r>
          </w:p>
        </w:tc>
      </w:tr>
    </w:tbl>
    <w:p w14:paraId="173B0A7D">
      <w:pPr>
        <w:rPr>
          <w:rFonts w:ascii="Times New Roman" w:hAnsi="Times New Roman"/>
        </w:rPr>
      </w:pPr>
    </w:p>
    <w:sectPr>
      <w:footerReference r:id="rId8"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00500000000000000"/>
    <w:charset w:val="86"/>
    <w:family w:val="modern"/>
    <w:pitch w:val="default"/>
    <w:sig w:usb0="A00002BF" w:usb1="584F6CFA" w:usb2="00000012" w:usb3="00000000" w:csb0="00040001"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00000000000000000"/>
    <w:charset w:val="86"/>
    <w:family w:val="modern"/>
    <w:pitch w:val="default"/>
    <w:sig w:usb0="A00002BF" w:usb1="184F6CFA" w:usb2="00000012" w:usb3="00000000" w:csb0="00040001" w:csb1="00000000"/>
  </w:font>
  <w:font w:name="Menlo">
    <w:altName w:val="仿宋_GB2312"/>
    <w:panose1 w:val="00000000000000000000"/>
    <w:charset w:val="00"/>
    <w:family w:val="auto"/>
    <w:pitch w:val="default"/>
    <w:sig w:usb0="00000000" w:usb1="00000000" w:usb2="00000000"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6D66">
    <w:pPr>
      <w:pStyle w:val="18"/>
      <w:jc w:val="center"/>
    </w:pPr>
  </w:p>
  <w:p w14:paraId="7E71CB1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10AB3">
    <w:pPr>
      <w:pStyle w:val="18"/>
      <w:jc w:val="center"/>
      <w:rPr>
        <w:rFonts w:hint="eastAsia" w:ascii="宋体"/>
        <w:sz w:val="24"/>
        <w:szCs w:val="24"/>
      </w:rPr>
    </w:pPr>
  </w:p>
  <w:p w14:paraId="4432F218">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sz w:val="24"/>
        <w:szCs w:val="24"/>
      </w:rPr>
      <w:id w:val="147469852"/>
      <w:docPartObj>
        <w:docPartGallery w:val="autotext"/>
      </w:docPartObj>
    </w:sdtPr>
    <w:sdtEndPr>
      <w:rPr>
        <w:rFonts w:ascii="宋体"/>
        <w:sz w:val="24"/>
        <w:szCs w:val="24"/>
      </w:rPr>
    </w:sdtEndPr>
    <w:sdtContent>
      <w:p w14:paraId="0B520D95">
        <w:pPr>
          <w:pStyle w:val="18"/>
          <w:jc w:val="center"/>
          <w:rPr>
            <w:rFonts w:hint="eastAsia" w:ascii="宋体"/>
            <w:sz w:val="24"/>
            <w:szCs w:val="24"/>
          </w:rPr>
        </w:pPr>
        <w:r>
          <w:rPr>
            <w:rFonts w:ascii="宋体"/>
            <w:sz w:val="24"/>
            <w:szCs w:val="24"/>
          </w:rPr>
          <w:fldChar w:fldCharType="begin"/>
        </w:r>
        <w:r>
          <w:rPr>
            <w:rFonts w:ascii="宋体"/>
            <w:sz w:val="24"/>
            <w:szCs w:val="24"/>
          </w:rPr>
          <w:instrText xml:space="preserve">PAGE   \* MERGEFORMAT</w:instrText>
        </w:r>
        <w:r>
          <w:rPr>
            <w:rFonts w:ascii="宋体"/>
            <w:sz w:val="24"/>
            <w:szCs w:val="24"/>
          </w:rPr>
          <w:fldChar w:fldCharType="separate"/>
        </w:r>
        <w:r>
          <w:rPr>
            <w:rFonts w:ascii="宋体"/>
            <w:sz w:val="24"/>
            <w:szCs w:val="24"/>
            <w:lang w:val="zh-CN"/>
          </w:rPr>
          <w:t>2</w:t>
        </w:r>
        <w:r>
          <w:rPr>
            <w:rFonts w:ascii="宋体"/>
            <w:sz w:val="24"/>
            <w:szCs w:val="24"/>
          </w:rPr>
          <w:fldChar w:fldCharType="end"/>
        </w:r>
      </w:p>
    </w:sdtContent>
  </w:sdt>
  <w:p w14:paraId="1414B692">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8160232">
      <w:pPr>
        <w:pStyle w:val="23"/>
        <w:snapToGrid w:val="0"/>
        <w:rPr>
          <w:rFonts w:hint="default" w:eastAsia="仿宋_GB2312"/>
          <w:lang w:val="en-US" w:eastAsia="zh-CN"/>
        </w:rPr>
      </w:pPr>
      <w:r>
        <w:rPr>
          <w:rStyle w:val="40"/>
        </w:rPr>
        <w:footnoteRef/>
      </w:r>
      <w:r>
        <w:t xml:space="preserve"> </w:t>
      </w:r>
      <w:r>
        <w:rPr>
          <w:rFonts w:hint="eastAsia"/>
          <w:lang w:val="en-US" w:eastAsia="zh-CN"/>
        </w:rPr>
        <w:t>reff03MMDD.txt 文件后续将予以下线。此后，本所将仅提供 reff0302YYYYMMDD.xml 文件。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2F5A6">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0972B">
    <w:pPr>
      <w:pStyle w:val="19"/>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zhu">
    <w15:presenceInfo w15:providerId="None" w15:userId="wyz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85"/>
    <w:rsid w:val="00003E40"/>
    <w:rsid w:val="000432F4"/>
    <w:rsid w:val="000454F6"/>
    <w:rsid w:val="00061203"/>
    <w:rsid w:val="00065D6C"/>
    <w:rsid w:val="00095C24"/>
    <w:rsid w:val="000D0386"/>
    <w:rsid w:val="000F2358"/>
    <w:rsid w:val="001606F2"/>
    <w:rsid w:val="00184D49"/>
    <w:rsid w:val="001C3A22"/>
    <w:rsid w:val="00231C44"/>
    <w:rsid w:val="00252091"/>
    <w:rsid w:val="002F2E85"/>
    <w:rsid w:val="003011DC"/>
    <w:rsid w:val="00304A7A"/>
    <w:rsid w:val="003529F3"/>
    <w:rsid w:val="00384831"/>
    <w:rsid w:val="003A4479"/>
    <w:rsid w:val="003B6113"/>
    <w:rsid w:val="003E7E73"/>
    <w:rsid w:val="00421B72"/>
    <w:rsid w:val="00447F8D"/>
    <w:rsid w:val="00493016"/>
    <w:rsid w:val="0050367A"/>
    <w:rsid w:val="00523801"/>
    <w:rsid w:val="00584E6B"/>
    <w:rsid w:val="005E6140"/>
    <w:rsid w:val="006443AF"/>
    <w:rsid w:val="006B1430"/>
    <w:rsid w:val="0070450C"/>
    <w:rsid w:val="00743FAC"/>
    <w:rsid w:val="0077064B"/>
    <w:rsid w:val="009754C5"/>
    <w:rsid w:val="00A35AAA"/>
    <w:rsid w:val="00A659EB"/>
    <w:rsid w:val="00A7226F"/>
    <w:rsid w:val="00AF25D9"/>
    <w:rsid w:val="00B3720E"/>
    <w:rsid w:val="00B66854"/>
    <w:rsid w:val="00B701B7"/>
    <w:rsid w:val="00B831D0"/>
    <w:rsid w:val="00BA1EA0"/>
    <w:rsid w:val="00BB3F39"/>
    <w:rsid w:val="00C314DD"/>
    <w:rsid w:val="00C337D6"/>
    <w:rsid w:val="00C34557"/>
    <w:rsid w:val="00C75A6A"/>
    <w:rsid w:val="00CE77BA"/>
    <w:rsid w:val="00D05790"/>
    <w:rsid w:val="00D1540C"/>
    <w:rsid w:val="00D228EE"/>
    <w:rsid w:val="00D86A21"/>
    <w:rsid w:val="00D94743"/>
    <w:rsid w:val="00D963D1"/>
    <w:rsid w:val="00E32C86"/>
    <w:rsid w:val="00E369D3"/>
    <w:rsid w:val="00E55F89"/>
    <w:rsid w:val="00FD50FA"/>
    <w:rsid w:val="02A4476B"/>
    <w:rsid w:val="07CA4C73"/>
    <w:rsid w:val="0AC53634"/>
    <w:rsid w:val="0D7658CA"/>
    <w:rsid w:val="0FA8775E"/>
    <w:rsid w:val="0FAE25BC"/>
    <w:rsid w:val="102A7A65"/>
    <w:rsid w:val="148D3AE9"/>
    <w:rsid w:val="1EDFB014"/>
    <w:rsid w:val="1F17CF92"/>
    <w:rsid w:val="25826736"/>
    <w:rsid w:val="27C272BD"/>
    <w:rsid w:val="282B0CB1"/>
    <w:rsid w:val="297E7214"/>
    <w:rsid w:val="2A3C5105"/>
    <w:rsid w:val="2AD51ED6"/>
    <w:rsid w:val="2CF41CC7"/>
    <w:rsid w:val="30E12562"/>
    <w:rsid w:val="33EF554E"/>
    <w:rsid w:val="352FB21E"/>
    <w:rsid w:val="36FFF3E9"/>
    <w:rsid w:val="37C783E3"/>
    <w:rsid w:val="397B9BD3"/>
    <w:rsid w:val="39C404EF"/>
    <w:rsid w:val="3C3976F6"/>
    <w:rsid w:val="3D9D15B5"/>
    <w:rsid w:val="448324EE"/>
    <w:rsid w:val="44DA0AB6"/>
    <w:rsid w:val="47EC167C"/>
    <w:rsid w:val="486E06AB"/>
    <w:rsid w:val="4BA810C3"/>
    <w:rsid w:val="4EDD03B5"/>
    <w:rsid w:val="54413194"/>
    <w:rsid w:val="54B61BAC"/>
    <w:rsid w:val="55A906D1"/>
    <w:rsid w:val="5AFB8B94"/>
    <w:rsid w:val="5CFE31A5"/>
    <w:rsid w:val="5F3F9705"/>
    <w:rsid w:val="5F73C04D"/>
    <w:rsid w:val="5FAD1D86"/>
    <w:rsid w:val="5FFF6D37"/>
    <w:rsid w:val="60315686"/>
    <w:rsid w:val="625642AF"/>
    <w:rsid w:val="648275DD"/>
    <w:rsid w:val="67FDA518"/>
    <w:rsid w:val="6A7A48B2"/>
    <w:rsid w:val="6AA92C61"/>
    <w:rsid w:val="6DFF427C"/>
    <w:rsid w:val="6F481423"/>
    <w:rsid w:val="73BF3FA7"/>
    <w:rsid w:val="74FB6FC6"/>
    <w:rsid w:val="770E05B9"/>
    <w:rsid w:val="7793E5FF"/>
    <w:rsid w:val="77FB899D"/>
    <w:rsid w:val="7B7CA2FE"/>
    <w:rsid w:val="7BF3AA58"/>
    <w:rsid w:val="7C7D0268"/>
    <w:rsid w:val="7D340C0A"/>
    <w:rsid w:val="7DBAC9B8"/>
    <w:rsid w:val="7DDB7C15"/>
    <w:rsid w:val="7DF53A71"/>
    <w:rsid w:val="7EFDA9BF"/>
    <w:rsid w:val="7F7E6A3B"/>
    <w:rsid w:val="8BFEE7E7"/>
    <w:rsid w:val="8DEF7822"/>
    <w:rsid w:val="90FE486B"/>
    <w:rsid w:val="9BCD3264"/>
    <w:rsid w:val="9FEF5037"/>
    <w:rsid w:val="9FFFA1F7"/>
    <w:rsid w:val="A70D37A2"/>
    <w:rsid w:val="B5476179"/>
    <w:rsid w:val="B71F1B1E"/>
    <w:rsid w:val="B8D342D7"/>
    <w:rsid w:val="BD9F971A"/>
    <w:rsid w:val="BF1D577F"/>
    <w:rsid w:val="BFDF5B78"/>
    <w:rsid w:val="C5799592"/>
    <w:rsid w:val="CB4D1030"/>
    <w:rsid w:val="CD0F58DF"/>
    <w:rsid w:val="CF6F39E1"/>
    <w:rsid w:val="DCFAA698"/>
    <w:rsid w:val="DF3F3193"/>
    <w:rsid w:val="DFEF8492"/>
    <w:rsid w:val="DFFF05E5"/>
    <w:rsid w:val="EAE63EA4"/>
    <w:rsid w:val="EBDA4AA7"/>
    <w:rsid w:val="ED32E70E"/>
    <w:rsid w:val="ED7E3760"/>
    <w:rsid w:val="ED954ACD"/>
    <w:rsid w:val="EDFD310F"/>
    <w:rsid w:val="EFFC241E"/>
    <w:rsid w:val="F8793396"/>
    <w:rsid w:val="F97FE625"/>
    <w:rsid w:val="FBBD5F91"/>
    <w:rsid w:val="FBBE0F29"/>
    <w:rsid w:val="FBCA9346"/>
    <w:rsid w:val="FBDED06D"/>
    <w:rsid w:val="FE75324A"/>
    <w:rsid w:val="FEDF52D4"/>
    <w:rsid w:val="FEEADE82"/>
    <w:rsid w:val="FF44AA79"/>
    <w:rsid w:val="FF713FBA"/>
    <w:rsid w:val="FFAFF8E4"/>
    <w:rsid w:val="FFD32654"/>
    <w:rsid w:val="FFDD6717"/>
    <w:rsid w:val="FFF736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link w:val="45"/>
    <w:qFormat/>
    <w:uiPriority w:val="9"/>
    <w:pPr>
      <w:keepNext/>
      <w:keepLines/>
      <w:spacing w:before="340" w:after="330" w:line="578" w:lineRule="auto"/>
      <w:jc w:val="left"/>
      <w:outlineLvl w:val="0"/>
    </w:pPr>
    <w:rPr>
      <w:rFonts w:eastAsia="仿宋_GB2312"/>
      <w:kern w:val="44"/>
      <w:sz w:val="28"/>
      <w:szCs w:val="44"/>
    </w:rPr>
  </w:style>
  <w:style w:type="paragraph" w:styleId="5">
    <w:name w:val="heading 2"/>
    <w:basedOn w:val="1"/>
    <w:next w:val="1"/>
    <w:link w:val="46"/>
    <w:qFormat/>
    <w:uiPriority w:val="9"/>
    <w:pPr>
      <w:keepNext/>
      <w:keepLines/>
      <w:spacing w:before="260" w:after="260"/>
      <w:ind w:firstLine="200" w:firstLineChars="200"/>
      <w:jc w:val="left"/>
      <w:outlineLvl w:val="1"/>
    </w:pPr>
    <w:rPr>
      <w:rFonts w:ascii="Cambria" w:hAnsi="Cambria" w:eastAsia="仿宋_GB2312"/>
      <w:b/>
      <w:bCs/>
      <w:sz w:val="28"/>
      <w:szCs w:val="32"/>
    </w:rPr>
  </w:style>
  <w:style w:type="paragraph" w:styleId="6">
    <w:name w:val="heading 3"/>
    <w:basedOn w:val="1"/>
    <w:next w:val="1"/>
    <w:link w:val="47"/>
    <w:qFormat/>
    <w:uiPriority w:val="9"/>
    <w:pPr>
      <w:keepNext/>
      <w:keepLines/>
      <w:spacing w:before="260" w:after="260" w:line="416" w:lineRule="auto"/>
      <w:outlineLvl w:val="2"/>
    </w:pPr>
    <w:rPr>
      <w:b/>
      <w:bCs/>
      <w:sz w:val="32"/>
      <w:szCs w:val="32"/>
    </w:rPr>
  </w:style>
  <w:style w:type="paragraph" w:styleId="7">
    <w:name w:val="heading 4"/>
    <w:basedOn w:val="1"/>
    <w:next w:val="1"/>
    <w:link w:val="48"/>
    <w:qFormat/>
    <w:uiPriority w:val="9"/>
    <w:pPr>
      <w:keepNext/>
      <w:keepLines/>
      <w:spacing w:before="280" w:after="290" w:line="376" w:lineRule="auto"/>
      <w:outlineLvl w:val="3"/>
    </w:pPr>
    <w:rPr>
      <w:rFonts w:ascii="Cambria" w:hAnsi="Cambria"/>
      <w:b/>
      <w:bCs/>
      <w:sz w:val="28"/>
      <w:szCs w:val="28"/>
    </w:rPr>
  </w:style>
  <w:style w:type="paragraph" w:styleId="8">
    <w:name w:val="heading 5"/>
    <w:basedOn w:val="1"/>
    <w:next w:val="1"/>
    <w:link w:val="49"/>
    <w:qFormat/>
    <w:uiPriority w:val="9"/>
    <w:pPr>
      <w:keepNext/>
      <w:keepLines/>
      <w:spacing w:before="280" w:after="290" w:line="376" w:lineRule="auto"/>
      <w:outlineLvl w:val="4"/>
    </w:pPr>
    <w:rPr>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rPr>
      <w:sz w:val="28"/>
    </w:rPr>
  </w:style>
  <w:style w:type="paragraph" w:styleId="9">
    <w:name w:val="toc 7"/>
    <w:basedOn w:val="1"/>
    <w:next w:val="1"/>
    <w:unhideWhenUsed/>
    <w:qFormat/>
    <w:uiPriority w:val="39"/>
    <w:pPr>
      <w:ind w:left="2520" w:leftChars="1200"/>
    </w:pPr>
  </w:style>
  <w:style w:type="paragraph" w:styleId="10">
    <w:name w:val="Normal Indent"/>
    <w:basedOn w:val="1"/>
    <w:unhideWhenUsed/>
    <w:qFormat/>
    <w:uiPriority w:val="99"/>
    <w:pPr>
      <w:adjustRightInd w:val="0"/>
      <w:snapToGrid w:val="0"/>
      <w:spacing w:beforeLines="50" w:afterLines="50" w:line="288" w:lineRule="auto"/>
      <w:ind w:firstLine="200" w:firstLineChars="200"/>
    </w:pPr>
    <w:rPr>
      <w:rFonts w:ascii="Times New Roman" w:hAnsi="Times New Roman" w:eastAsia="楷体_GB2312"/>
      <w:sz w:val="24"/>
      <w:szCs w:val="24"/>
    </w:rPr>
  </w:style>
  <w:style w:type="paragraph" w:styleId="11">
    <w:name w:val="Document Map"/>
    <w:basedOn w:val="1"/>
    <w:link w:val="89"/>
    <w:unhideWhenUsed/>
    <w:qFormat/>
    <w:uiPriority w:val="99"/>
    <w:rPr>
      <w:rFonts w:ascii="宋体" w:hAnsiTheme="minorHAnsi" w:eastAsiaTheme="minorEastAsia" w:cstheme="minorBidi"/>
      <w:sz w:val="18"/>
      <w:szCs w:val="18"/>
    </w:rPr>
  </w:style>
  <w:style w:type="paragraph" w:styleId="12">
    <w:name w:val="annotation text"/>
    <w:basedOn w:val="1"/>
    <w:link w:val="87"/>
    <w:unhideWhenUsed/>
    <w:qFormat/>
    <w:uiPriority w:val="99"/>
    <w:pPr>
      <w:jc w:val="left"/>
    </w:pPr>
  </w:style>
  <w:style w:type="paragraph" w:styleId="13">
    <w:name w:val="toc 5"/>
    <w:basedOn w:val="1"/>
    <w:next w:val="1"/>
    <w:unhideWhenUsed/>
    <w:qFormat/>
    <w:uiPriority w:val="39"/>
    <w:pPr>
      <w:ind w:left="1680" w:leftChars="800"/>
    </w:pPr>
  </w:style>
  <w:style w:type="paragraph" w:styleId="14">
    <w:name w:val="toc 3"/>
    <w:basedOn w:val="1"/>
    <w:next w:val="1"/>
    <w:unhideWhenUsed/>
    <w:qFormat/>
    <w:uiPriority w:val="39"/>
    <w:pPr>
      <w:ind w:left="840" w:leftChars="400"/>
    </w:pPr>
  </w:style>
  <w:style w:type="paragraph" w:styleId="15">
    <w:name w:val="toc 8"/>
    <w:basedOn w:val="1"/>
    <w:next w:val="1"/>
    <w:unhideWhenUsed/>
    <w:qFormat/>
    <w:uiPriority w:val="39"/>
    <w:pPr>
      <w:ind w:left="2940" w:leftChars="1400"/>
    </w:pPr>
  </w:style>
  <w:style w:type="paragraph" w:styleId="16">
    <w:name w:val="Body Text Indent 2"/>
    <w:basedOn w:val="1"/>
    <w:qFormat/>
    <w:uiPriority w:val="0"/>
    <w:pPr>
      <w:spacing w:after="120" w:line="480" w:lineRule="auto"/>
      <w:ind w:left="420" w:leftChars="200"/>
    </w:pPr>
    <w:rPr>
      <w:rFonts w:ascii="宋体" w:hAnsi="宋体"/>
      <w:bCs/>
      <w:szCs w:val="21"/>
    </w:rPr>
  </w:style>
  <w:style w:type="paragraph" w:styleId="17">
    <w:name w:val="Balloon Text"/>
    <w:basedOn w:val="1"/>
    <w:link w:val="90"/>
    <w:unhideWhenUsed/>
    <w:qFormat/>
    <w:uiPriority w:val="99"/>
    <w:rPr>
      <w:rFonts w:asciiTheme="minorHAnsi" w:hAnsiTheme="minorHAnsi" w:eastAsiaTheme="minorEastAsia" w:cstheme="minorBidi"/>
      <w:sz w:val="18"/>
      <w:szCs w:val="18"/>
    </w:rPr>
  </w:style>
  <w:style w:type="paragraph" w:styleId="18">
    <w:name w:val="footer"/>
    <w:basedOn w:val="1"/>
    <w:link w:val="44"/>
    <w:unhideWhenUsed/>
    <w:qFormat/>
    <w:uiPriority w:val="99"/>
    <w:pPr>
      <w:tabs>
        <w:tab w:val="center" w:pos="4153"/>
        <w:tab w:val="right" w:pos="8306"/>
      </w:tabs>
      <w:snapToGrid w:val="0"/>
      <w:jc w:val="left"/>
    </w:pPr>
    <w:rPr>
      <w:sz w:val="18"/>
      <w:szCs w:val="18"/>
    </w:rPr>
  </w:style>
  <w:style w:type="paragraph" w:styleId="19">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style>
  <w:style w:type="paragraph" w:styleId="21">
    <w:name w:val="toc 4"/>
    <w:basedOn w:val="1"/>
    <w:next w:val="1"/>
    <w:unhideWhenUsed/>
    <w:qFormat/>
    <w:uiPriority w:val="39"/>
    <w:pPr>
      <w:ind w:left="1260" w:leftChars="600"/>
    </w:pPr>
  </w:style>
  <w:style w:type="paragraph" w:styleId="22">
    <w:name w:val="Subtitle"/>
    <w:basedOn w:val="1"/>
    <w:next w:val="1"/>
    <w:link w:val="86"/>
    <w:qFormat/>
    <w:uiPriority w:val="11"/>
    <w:pPr>
      <w:spacing w:before="240" w:after="60"/>
      <w:ind w:firstLine="200" w:firstLineChars="200"/>
      <w:jc w:val="left"/>
      <w:outlineLvl w:val="1"/>
    </w:pPr>
    <w:rPr>
      <w:rFonts w:ascii="Cambria" w:hAnsi="Cambria" w:eastAsia="仿宋_GB2312"/>
      <w:bCs/>
      <w:kern w:val="28"/>
      <w:sz w:val="28"/>
      <w:szCs w:val="32"/>
    </w:rPr>
  </w:style>
  <w:style w:type="paragraph" w:styleId="23">
    <w:name w:val="footnote text"/>
    <w:basedOn w:val="1"/>
    <w:link w:val="85"/>
    <w:unhideWhenUsed/>
    <w:qFormat/>
    <w:uiPriority w:val="99"/>
    <w:pPr>
      <w:snapToGrid w:val="0"/>
      <w:jc w:val="left"/>
    </w:pPr>
    <w:rPr>
      <w:rFonts w:asciiTheme="minorHAnsi" w:hAnsiTheme="minorHAnsi" w:eastAsiaTheme="minorEastAsia" w:cstheme="minorBidi"/>
      <w:sz w:val="18"/>
      <w:szCs w:val="18"/>
    </w:rPr>
  </w:style>
  <w:style w:type="paragraph" w:styleId="24">
    <w:name w:val="toc 6"/>
    <w:basedOn w:val="1"/>
    <w:next w:val="1"/>
    <w:unhideWhenUsed/>
    <w:qFormat/>
    <w:uiPriority w:val="39"/>
    <w:pPr>
      <w:ind w:left="2100" w:leftChars="1000"/>
    </w:p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ind w:left="3360" w:leftChars="1600"/>
    </w:pPr>
  </w:style>
  <w:style w:type="paragraph" w:styleId="2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8">
    <w:name w:val="Normal (Web)"/>
    <w:basedOn w:val="1"/>
    <w:unhideWhenUsed/>
    <w:qFormat/>
    <w:uiPriority w:val="99"/>
    <w:rPr>
      <w:rFonts w:ascii="Times New Roman" w:hAnsi="Times New Roman"/>
      <w:sz w:val="24"/>
      <w:szCs w:val="20"/>
    </w:rPr>
  </w:style>
  <w:style w:type="paragraph" w:styleId="29">
    <w:name w:val="Title"/>
    <w:basedOn w:val="1"/>
    <w:next w:val="1"/>
    <w:link w:val="91"/>
    <w:qFormat/>
    <w:uiPriority w:val="10"/>
    <w:pPr>
      <w:spacing w:before="240" w:after="60"/>
      <w:ind w:left="100" w:leftChars="100" w:right="100" w:rightChars="100" w:firstLine="200" w:firstLineChars="200"/>
      <w:jc w:val="center"/>
      <w:outlineLvl w:val="0"/>
    </w:pPr>
    <w:rPr>
      <w:rFonts w:ascii="Cambria" w:hAnsi="Cambria" w:eastAsia="仿宋_GB2312"/>
      <w:b/>
      <w:bCs/>
      <w:sz w:val="30"/>
      <w:szCs w:val="32"/>
    </w:rPr>
  </w:style>
  <w:style w:type="paragraph" w:styleId="30">
    <w:name w:val="annotation subject"/>
    <w:basedOn w:val="12"/>
    <w:next w:val="12"/>
    <w:link w:val="88"/>
    <w:unhideWhenUsed/>
    <w:qFormat/>
    <w:uiPriority w:val="99"/>
    <w:rPr>
      <w:rFonts w:asciiTheme="minorHAnsi" w:hAnsiTheme="minorHAnsi" w:eastAsiaTheme="minorEastAsia" w:cstheme="minorBidi"/>
      <w:b/>
      <w:bCs/>
    </w:rPr>
  </w:style>
  <w:style w:type="table" w:styleId="32">
    <w:name w:val="Table Grid"/>
    <w:basedOn w:val="3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qFormat/>
    <w:uiPriority w:val="22"/>
    <w:rPr>
      <w:b/>
      <w:color w:val="23527C"/>
      <w:u w:val="none"/>
    </w:rPr>
  </w:style>
  <w:style w:type="character" w:styleId="35">
    <w:name w:val="FollowedHyperlink"/>
    <w:basedOn w:val="33"/>
    <w:unhideWhenUsed/>
    <w:qFormat/>
    <w:uiPriority w:val="99"/>
    <w:rPr>
      <w:color w:val="337AB7"/>
      <w:u w:val="none"/>
    </w:rPr>
  </w:style>
  <w:style w:type="character" w:styleId="36">
    <w:name w:val="HTML Definition"/>
    <w:basedOn w:val="33"/>
    <w:unhideWhenUsed/>
    <w:qFormat/>
    <w:uiPriority w:val="99"/>
    <w:rPr>
      <w:i/>
      <w:color w:val="23527C"/>
      <w:sz w:val="20"/>
      <w:szCs w:val="20"/>
      <w:u w:val="none"/>
    </w:rPr>
  </w:style>
  <w:style w:type="character" w:styleId="37">
    <w:name w:val="Hyperlink"/>
    <w:basedOn w:val="33"/>
    <w:unhideWhenUsed/>
    <w:qFormat/>
    <w:uiPriority w:val="99"/>
    <w:rPr>
      <w:color w:val="337AB7"/>
      <w:u w:val="none"/>
    </w:rPr>
  </w:style>
  <w:style w:type="character" w:styleId="38">
    <w:name w:val="HTML Code"/>
    <w:basedOn w:val="33"/>
    <w:unhideWhenUsed/>
    <w:qFormat/>
    <w:uiPriority w:val="99"/>
    <w:rPr>
      <w:rFonts w:hint="default" w:ascii="Menlo" w:hAnsi="Menlo" w:eastAsia="Menlo" w:cs="Menlo"/>
      <w:color w:val="C7254E"/>
      <w:sz w:val="21"/>
      <w:szCs w:val="21"/>
      <w:shd w:val="clear" w:color="auto" w:fill="F9F2F4"/>
    </w:rPr>
  </w:style>
  <w:style w:type="character" w:styleId="39">
    <w:name w:val="annotation reference"/>
    <w:basedOn w:val="33"/>
    <w:unhideWhenUsed/>
    <w:qFormat/>
    <w:uiPriority w:val="99"/>
    <w:rPr>
      <w:sz w:val="21"/>
      <w:szCs w:val="21"/>
    </w:rPr>
  </w:style>
  <w:style w:type="character" w:styleId="40">
    <w:name w:val="footnote reference"/>
    <w:basedOn w:val="33"/>
    <w:unhideWhenUsed/>
    <w:qFormat/>
    <w:uiPriority w:val="99"/>
    <w:rPr>
      <w:vertAlign w:val="superscript"/>
    </w:rPr>
  </w:style>
  <w:style w:type="character" w:styleId="41">
    <w:name w:val="HTML Keyboard"/>
    <w:basedOn w:val="33"/>
    <w:unhideWhenUsed/>
    <w:qFormat/>
    <w:uiPriority w:val="99"/>
    <w:rPr>
      <w:rFonts w:hint="default" w:ascii="Menlo" w:hAnsi="Menlo" w:eastAsia="Menlo" w:cs="Menlo"/>
      <w:color w:val="FFFFFF"/>
      <w:sz w:val="21"/>
      <w:szCs w:val="21"/>
      <w:shd w:val="clear" w:color="auto" w:fill="333333"/>
    </w:rPr>
  </w:style>
  <w:style w:type="character" w:styleId="42">
    <w:name w:val="HTML Sample"/>
    <w:basedOn w:val="33"/>
    <w:unhideWhenUsed/>
    <w:qFormat/>
    <w:uiPriority w:val="99"/>
    <w:rPr>
      <w:rFonts w:ascii="Menlo" w:hAnsi="Menlo" w:eastAsia="Menlo" w:cs="Menlo"/>
      <w:sz w:val="21"/>
      <w:szCs w:val="21"/>
    </w:rPr>
  </w:style>
  <w:style w:type="character" w:customStyle="1" w:styleId="43">
    <w:name w:val="页眉 字符"/>
    <w:basedOn w:val="33"/>
    <w:link w:val="19"/>
    <w:semiHidden/>
    <w:qFormat/>
    <w:uiPriority w:val="99"/>
    <w:rPr>
      <w:sz w:val="18"/>
      <w:szCs w:val="18"/>
    </w:rPr>
  </w:style>
  <w:style w:type="character" w:customStyle="1" w:styleId="44">
    <w:name w:val="页脚 字符"/>
    <w:basedOn w:val="33"/>
    <w:link w:val="18"/>
    <w:qFormat/>
    <w:uiPriority w:val="99"/>
    <w:rPr>
      <w:sz w:val="18"/>
      <w:szCs w:val="18"/>
    </w:rPr>
  </w:style>
  <w:style w:type="character" w:customStyle="1" w:styleId="45">
    <w:name w:val="标题 1 字符"/>
    <w:basedOn w:val="33"/>
    <w:link w:val="4"/>
    <w:qFormat/>
    <w:uiPriority w:val="9"/>
    <w:rPr>
      <w:rFonts w:ascii="Calibri" w:hAnsi="Calibri" w:eastAsia="仿宋_GB2312" w:cs="Times New Roman"/>
      <w:b/>
      <w:bCs/>
      <w:kern w:val="44"/>
      <w:sz w:val="28"/>
      <w:szCs w:val="44"/>
    </w:rPr>
  </w:style>
  <w:style w:type="character" w:customStyle="1" w:styleId="46">
    <w:name w:val="标题 2 字符"/>
    <w:basedOn w:val="33"/>
    <w:link w:val="5"/>
    <w:qFormat/>
    <w:uiPriority w:val="9"/>
    <w:rPr>
      <w:rFonts w:ascii="Cambria" w:hAnsi="Cambria" w:eastAsia="仿宋_GB2312" w:cs="Times New Roman"/>
      <w:b/>
      <w:bCs/>
      <w:sz w:val="28"/>
      <w:szCs w:val="32"/>
    </w:rPr>
  </w:style>
  <w:style w:type="character" w:customStyle="1" w:styleId="47">
    <w:name w:val="标题 3 字符"/>
    <w:basedOn w:val="33"/>
    <w:link w:val="6"/>
    <w:qFormat/>
    <w:uiPriority w:val="9"/>
    <w:rPr>
      <w:rFonts w:ascii="Calibri" w:hAnsi="Calibri" w:eastAsia="宋体" w:cs="Times New Roman"/>
      <w:b/>
      <w:bCs/>
      <w:sz w:val="32"/>
      <w:szCs w:val="32"/>
    </w:rPr>
  </w:style>
  <w:style w:type="character" w:customStyle="1" w:styleId="48">
    <w:name w:val="标题 4 字符"/>
    <w:basedOn w:val="33"/>
    <w:link w:val="7"/>
    <w:qFormat/>
    <w:uiPriority w:val="9"/>
    <w:rPr>
      <w:rFonts w:ascii="Cambria" w:hAnsi="Cambria" w:eastAsia="宋体" w:cs="Times New Roman"/>
      <w:b/>
      <w:bCs/>
      <w:sz w:val="28"/>
      <w:szCs w:val="28"/>
    </w:rPr>
  </w:style>
  <w:style w:type="character" w:customStyle="1" w:styleId="49">
    <w:name w:val="标题 5 字符"/>
    <w:basedOn w:val="33"/>
    <w:link w:val="8"/>
    <w:qFormat/>
    <w:uiPriority w:val="9"/>
    <w:rPr>
      <w:rFonts w:ascii="Calibri" w:hAnsi="Calibri" w:eastAsia="宋体" w:cs="Times New Roman"/>
      <w:b/>
      <w:bCs/>
      <w:sz w:val="28"/>
      <w:szCs w:val="28"/>
    </w:rPr>
  </w:style>
  <w:style w:type="character" w:customStyle="1" w:styleId="50">
    <w:name w:val="pt11"/>
    <w:basedOn w:val="33"/>
    <w:qFormat/>
    <w:uiPriority w:val="0"/>
  </w:style>
  <w:style w:type="character" w:customStyle="1" w:styleId="51">
    <w:name w:val="hover35"/>
    <w:basedOn w:val="33"/>
    <w:qFormat/>
    <w:uiPriority w:val="0"/>
    <w:rPr>
      <w:color w:val="999999"/>
      <w:shd w:val="clear" w:color="auto" w:fill="EEEEEE"/>
    </w:rPr>
  </w:style>
  <w:style w:type="character" w:customStyle="1" w:styleId="52">
    <w:name w:val="hover"/>
    <w:basedOn w:val="33"/>
    <w:qFormat/>
    <w:uiPriority w:val="0"/>
    <w:rPr>
      <w:shd w:val="clear" w:color="auto" w:fill="EEEEEE"/>
    </w:rPr>
  </w:style>
  <w:style w:type="character" w:customStyle="1" w:styleId="53">
    <w:name w:val="old"/>
    <w:basedOn w:val="33"/>
    <w:qFormat/>
    <w:uiPriority w:val="0"/>
    <w:rPr>
      <w:color w:val="999999"/>
    </w:rPr>
  </w:style>
  <w:style w:type="character" w:customStyle="1" w:styleId="54">
    <w:name w:val="批注框文本 Char"/>
    <w:basedOn w:val="33"/>
    <w:qFormat/>
    <w:uiPriority w:val="99"/>
    <w:rPr>
      <w:sz w:val="18"/>
      <w:szCs w:val="18"/>
    </w:rPr>
  </w:style>
  <w:style w:type="character" w:customStyle="1" w:styleId="55">
    <w:name w:val="脚注文本 Char"/>
    <w:basedOn w:val="33"/>
    <w:qFormat/>
    <w:uiPriority w:val="99"/>
    <w:rPr>
      <w:sz w:val="18"/>
      <w:szCs w:val="18"/>
    </w:rPr>
  </w:style>
  <w:style w:type="character" w:customStyle="1" w:styleId="56">
    <w:name w:val="glyphicon4"/>
    <w:basedOn w:val="33"/>
    <w:qFormat/>
    <w:uiPriority w:val="0"/>
  </w:style>
  <w:style w:type="character" w:customStyle="1" w:styleId="57">
    <w:name w:val="old1"/>
    <w:basedOn w:val="33"/>
    <w:qFormat/>
    <w:uiPriority w:val="0"/>
    <w:rPr>
      <w:color w:val="999999"/>
    </w:rPr>
  </w:style>
  <w:style w:type="character" w:customStyle="1" w:styleId="58">
    <w:name w:val="hover33"/>
    <w:basedOn w:val="33"/>
    <w:qFormat/>
    <w:uiPriority w:val="0"/>
    <w:rPr>
      <w:shd w:val="clear" w:color="auto" w:fill="EEEEEE"/>
    </w:rPr>
  </w:style>
  <w:style w:type="character" w:customStyle="1" w:styleId="59">
    <w:name w:val="hover31"/>
    <w:basedOn w:val="33"/>
    <w:qFormat/>
    <w:uiPriority w:val="0"/>
    <w:rPr>
      <w:shd w:val="clear" w:color="auto" w:fill="EEEEEE"/>
    </w:rPr>
  </w:style>
  <w:style w:type="character" w:customStyle="1" w:styleId="60">
    <w:name w:val="input-group-addon"/>
    <w:basedOn w:val="33"/>
    <w:qFormat/>
    <w:uiPriority w:val="0"/>
    <w:rPr>
      <w:sz w:val="21"/>
      <w:szCs w:val="21"/>
    </w:rPr>
  </w:style>
  <w:style w:type="character" w:customStyle="1" w:styleId="61">
    <w:name w:val="last-child"/>
    <w:basedOn w:val="33"/>
    <w:qFormat/>
    <w:uiPriority w:val="0"/>
  </w:style>
  <w:style w:type="character" w:customStyle="1" w:styleId="62">
    <w:name w:val="hover34"/>
    <w:basedOn w:val="33"/>
    <w:qFormat/>
    <w:uiPriority w:val="0"/>
    <w:rPr>
      <w:u w:val="none"/>
    </w:rPr>
  </w:style>
  <w:style w:type="character" w:customStyle="1" w:styleId="63">
    <w:name w:val="first-child4"/>
    <w:basedOn w:val="33"/>
    <w:qFormat/>
    <w:uiPriority w:val="0"/>
    <w:rPr>
      <w:sz w:val="21"/>
      <w:szCs w:val="21"/>
    </w:rPr>
  </w:style>
  <w:style w:type="character" w:customStyle="1" w:styleId="64">
    <w:name w:val="标题 Char"/>
    <w:basedOn w:val="33"/>
    <w:qFormat/>
    <w:uiPriority w:val="10"/>
    <w:rPr>
      <w:rFonts w:ascii="Cambria" w:hAnsi="Cambria" w:eastAsia="仿宋_GB2312" w:cs="Times New Roman"/>
      <w:b/>
      <w:bCs/>
      <w:sz w:val="30"/>
      <w:szCs w:val="32"/>
    </w:rPr>
  </w:style>
  <w:style w:type="character" w:customStyle="1" w:styleId="65">
    <w:name w:val="hover2"/>
    <w:basedOn w:val="33"/>
    <w:qFormat/>
    <w:uiPriority w:val="0"/>
    <w:rPr>
      <w:shd w:val="clear" w:color="auto" w:fill="EEEEEE"/>
    </w:rPr>
  </w:style>
  <w:style w:type="character" w:customStyle="1" w:styleId="66">
    <w:name w:val="input-group-addon8"/>
    <w:basedOn w:val="33"/>
    <w:qFormat/>
    <w:uiPriority w:val="0"/>
    <w:rPr>
      <w:sz w:val="21"/>
      <w:szCs w:val="21"/>
    </w:rPr>
  </w:style>
  <w:style w:type="character" w:customStyle="1" w:styleId="67">
    <w:name w:val="new"/>
    <w:basedOn w:val="33"/>
    <w:qFormat/>
    <w:uiPriority w:val="0"/>
    <w:rPr>
      <w:color w:val="999999"/>
    </w:rPr>
  </w:style>
  <w:style w:type="character" w:customStyle="1" w:styleId="68">
    <w:name w:val="fashy"/>
    <w:basedOn w:val="33"/>
    <w:qFormat/>
    <w:uiPriority w:val="0"/>
    <w:rPr>
      <w:b/>
      <w:color w:val="7E7E7E"/>
      <w:sz w:val="21"/>
      <w:szCs w:val="21"/>
    </w:rPr>
  </w:style>
  <w:style w:type="character" w:customStyle="1" w:styleId="69">
    <w:name w:val="last-child3"/>
    <w:basedOn w:val="33"/>
    <w:qFormat/>
    <w:uiPriority w:val="0"/>
  </w:style>
  <w:style w:type="character" w:customStyle="1" w:styleId="70">
    <w:name w:val="last-child2"/>
    <w:basedOn w:val="33"/>
    <w:qFormat/>
    <w:uiPriority w:val="0"/>
  </w:style>
  <w:style w:type="character" w:customStyle="1" w:styleId="71">
    <w:name w:val="hover1"/>
    <w:basedOn w:val="33"/>
    <w:qFormat/>
    <w:uiPriority w:val="0"/>
    <w:rPr>
      <w:u w:val="none"/>
    </w:rPr>
  </w:style>
  <w:style w:type="character" w:customStyle="1" w:styleId="72">
    <w:name w:val="fred"/>
    <w:basedOn w:val="33"/>
    <w:qFormat/>
    <w:uiPriority w:val="0"/>
    <w:rPr>
      <w:b/>
      <w:color w:val="D9534F"/>
      <w:sz w:val="21"/>
      <w:szCs w:val="21"/>
    </w:rPr>
  </w:style>
  <w:style w:type="character" w:customStyle="1" w:styleId="73">
    <w:name w:val="hour_am"/>
    <w:basedOn w:val="33"/>
    <w:qFormat/>
    <w:uiPriority w:val="0"/>
  </w:style>
  <w:style w:type="character" w:customStyle="1" w:styleId="74">
    <w:name w:val="hover32"/>
    <w:basedOn w:val="33"/>
    <w:qFormat/>
    <w:uiPriority w:val="0"/>
    <w:rPr>
      <w:u w:val="none"/>
    </w:rPr>
  </w:style>
  <w:style w:type="character" w:customStyle="1" w:styleId="75">
    <w:name w:val="last-child1"/>
    <w:basedOn w:val="33"/>
    <w:qFormat/>
    <w:uiPriority w:val="0"/>
  </w:style>
  <w:style w:type="character" w:customStyle="1" w:styleId="76">
    <w:name w:val="列出段落 Char"/>
    <w:basedOn w:val="33"/>
    <w:link w:val="77"/>
    <w:qFormat/>
    <w:uiPriority w:val="34"/>
    <w:rPr>
      <w:rFonts w:ascii="Calibri" w:hAnsi="Calibri" w:eastAsia="宋体" w:cs="Times New Roman"/>
    </w:rPr>
  </w:style>
  <w:style w:type="paragraph" w:customStyle="1" w:styleId="77">
    <w:name w:val="列出段落2"/>
    <w:basedOn w:val="1"/>
    <w:link w:val="76"/>
    <w:qFormat/>
    <w:uiPriority w:val="34"/>
    <w:pPr>
      <w:ind w:firstLine="420" w:firstLineChars="200"/>
    </w:pPr>
  </w:style>
  <w:style w:type="character" w:customStyle="1" w:styleId="78">
    <w:name w:val="批注文字 Char1"/>
    <w:basedOn w:val="33"/>
    <w:semiHidden/>
    <w:qFormat/>
    <w:locked/>
    <w:uiPriority w:val="99"/>
    <w:rPr>
      <w:rFonts w:ascii="Times New Roman" w:hAnsi="Times New Roman"/>
      <w:sz w:val="21"/>
      <w:szCs w:val="21"/>
    </w:rPr>
  </w:style>
  <w:style w:type="character" w:customStyle="1" w:styleId="79">
    <w:name w:val="glyphicon"/>
    <w:basedOn w:val="33"/>
    <w:qFormat/>
    <w:uiPriority w:val="0"/>
  </w:style>
  <w:style w:type="character" w:customStyle="1" w:styleId="80">
    <w:name w:val="批注文字 Char"/>
    <w:basedOn w:val="33"/>
    <w:qFormat/>
    <w:uiPriority w:val="99"/>
    <w:rPr>
      <w:rFonts w:ascii="Calibri" w:hAnsi="Calibri" w:eastAsia="宋体" w:cs="Times New Roman"/>
    </w:rPr>
  </w:style>
  <w:style w:type="character" w:customStyle="1" w:styleId="81">
    <w:name w:val="hour_pm"/>
    <w:basedOn w:val="33"/>
    <w:qFormat/>
    <w:uiPriority w:val="0"/>
  </w:style>
  <w:style w:type="character" w:customStyle="1" w:styleId="82">
    <w:name w:val="批注主题 Char"/>
    <w:basedOn w:val="80"/>
    <w:qFormat/>
    <w:uiPriority w:val="99"/>
    <w:rPr>
      <w:rFonts w:ascii="Calibri" w:hAnsi="Calibri" w:eastAsia="宋体" w:cs="Times New Roman"/>
      <w:b/>
      <w:bCs/>
    </w:rPr>
  </w:style>
  <w:style w:type="character" w:customStyle="1" w:styleId="83">
    <w:name w:val="副标题 Char"/>
    <w:basedOn w:val="33"/>
    <w:qFormat/>
    <w:uiPriority w:val="11"/>
    <w:rPr>
      <w:rFonts w:ascii="Cambria" w:hAnsi="Cambria" w:eastAsia="仿宋_GB2312" w:cs="Times New Roman"/>
      <w:bCs/>
      <w:kern w:val="28"/>
      <w:sz w:val="28"/>
      <w:szCs w:val="32"/>
    </w:rPr>
  </w:style>
  <w:style w:type="character" w:customStyle="1" w:styleId="84">
    <w:name w:val="文档结构图 Char"/>
    <w:basedOn w:val="33"/>
    <w:qFormat/>
    <w:uiPriority w:val="99"/>
    <w:rPr>
      <w:rFonts w:ascii="宋体"/>
      <w:sz w:val="18"/>
      <w:szCs w:val="18"/>
    </w:rPr>
  </w:style>
  <w:style w:type="character" w:customStyle="1" w:styleId="85">
    <w:name w:val="脚注文本 字符"/>
    <w:basedOn w:val="33"/>
    <w:link w:val="23"/>
    <w:semiHidden/>
    <w:qFormat/>
    <w:uiPriority w:val="99"/>
    <w:rPr>
      <w:rFonts w:ascii="Calibri" w:hAnsi="Calibri" w:eastAsia="宋体" w:cs="Times New Roman"/>
      <w:sz w:val="18"/>
      <w:szCs w:val="18"/>
    </w:rPr>
  </w:style>
  <w:style w:type="character" w:customStyle="1" w:styleId="86">
    <w:name w:val="副标题 字符"/>
    <w:basedOn w:val="33"/>
    <w:link w:val="22"/>
    <w:qFormat/>
    <w:uiPriority w:val="11"/>
    <w:rPr>
      <w:rFonts w:eastAsia="宋体" w:asciiTheme="majorHAnsi" w:hAnsiTheme="majorHAnsi" w:cstheme="majorBidi"/>
      <w:b/>
      <w:bCs/>
      <w:kern w:val="28"/>
      <w:sz w:val="32"/>
      <w:szCs w:val="32"/>
    </w:rPr>
  </w:style>
  <w:style w:type="character" w:customStyle="1" w:styleId="87">
    <w:name w:val="批注文字 字符"/>
    <w:basedOn w:val="33"/>
    <w:link w:val="12"/>
    <w:semiHidden/>
    <w:qFormat/>
    <w:uiPriority w:val="99"/>
    <w:rPr>
      <w:rFonts w:ascii="Calibri" w:hAnsi="Calibri" w:eastAsia="宋体" w:cs="Times New Roman"/>
    </w:rPr>
  </w:style>
  <w:style w:type="character" w:customStyle="1" w:styleId="88">
    <w:name w:val="批注主题 字符"/>
    <w:basedOn w:val="87"/>
    <w:link w:val="30"/>
    <w:semiHidden/>
    <w:qFormat/>
    <w:uiPriority w:val="99"/>
    <w:rPr>
      <w:rFonts w:ascii="Calibri" w:hAnsi="Calibri" w:eastAsia="宋体" w:cs="Times New Roman"/>
      <w:b/>
      <w:bCs/>
    </w:rPr>
  </w:style>
  <w:style w:type="character" w:customStyle="1" w:styleId="89">
    <w:name w:val="文档结构图 字符"/>
    <w:basedOn w:val="33"/>
    <w:link w:val="11"/>
    <w:semiHidden/>
    <w:qFormat/>
    <w:uiPriority w:val="99"/>
    <w:rPr>
      <w:rFonts w:ascii="宋体" w:hAnsi="Calibri" w:eastAsia="宋体" w:cs="Times New Roman"/>
      <w:sz w:val="18"/>
      <w:szCs w:val="18"/>
    </w:rPr>
  </w:style>
  <w:style w:type="character" w:customStyle="1" w:styleId="90">
    <w:name w:val="批注框文本 字符"/>
    <w:basedOn w:val="33"/>
    <w:link w:val="17"/>
    <w:semiHidden/>
    <w:qFormat/>
    <w:uiPriority w:val="99"/>
    <w:rPr>
      <w:rFonts w:ascii="Calibri" w:hAnsi="Calibri" w:eastAsia="宋体" w:cs="Times New Roman"/>
      <w:sz w:val="18"/>
      <w:szCs w:val="18"/>
    </w:rPr>
  </w:style>
  <w:style w:type="character" w:customStyle="1" w:styleId="91">
    <w:name w:val="标题 字符"/>
    <w:basedOn w:val="33"/>
    <w:link w:val="29"/>
    <w:qFormat/>
    <w:uiPriority w:val="10"/>
    <w:rPr>
      <w:rFonts w:eastAsia="宋体" w:asciiTheme="majorHAnsi" w:hAnsiTheme="majorHAnsi" w:cstheme="majorBidi"/>
      <w:b/>
      <w:bCs/>
      <w:sz w:val="32"/>
      <w:szCs w:val="32"/>
    </w:rPr>
  </w:style>
  <w:style w:type="paragraph" w:customStyle="1" w:styleId="92">
    <w:name w:val="修订1"/>
    <w:unhideWhenUsed/>
    <w:qFormat/>
    <w:uiPriority w:val="99"/>
    <w:pPr>
      <w:jc w:val="both"/>
    </w:pPr>
    <w:rPr>
      <w:rFonts w:ascii="Calibri" w:hAnsi="Calibri" w:eastAsia="宋体" w:cs="Times New Roman"/>
      <w:kern w:val="2"/>
      <w:sz w:val="21"/>
      <w:szCs w:val="22"/>
      <w:lang w:val="en-US" w:eastAsia="zh-CN" w:bidi="ar-SA"/>
    </w:rPr>
  </w:style>
  <w:style w:type="paragraph" w:customStyle="1" w:styleId="93">
    <w:name w:val="列出段落1"/>
    <w:basedOn w:val="1"/>
    <w:qFormat/>
    <w:uiPriority w:val="34"/>
    <w:pPr>
      <w:ind w:firstLine="200" w:firstLineChars="200"/>
    </w:pPr>
  </w:style>
  <w:style w:type="paragraph" w:customStyle="1" w:styleId="94">
    <w:name w:val="TOC 标题1"/>
    <w:basedOn w:val="4"/>
    <w:next w:val="1"/>
    <w:qFormat/>
    <w:uiPriority w:val="39"/>
    <w:pPr>
      <w:widowControl/>
      <w:spacing w:before="480" w:after="0" w:line="276" w:lineRule="auto"/>
      <w:outlineLvl w:val="9"/>
    </w:pPr>
    <w:rPr>
      <w:rFonts w:ascii="Cambria" w:hAnsi="Cambria" w:eastAsia="宋体"/>
      <w:color w:val="365F91"/>
      <w:kern w:val="0"/>
      <w:szCs w:val="28"/>
    </w:rPr>
  </w:style>
  <w:style w:type="paragraph" w:customStyle="1" w:styleId="95">
    <w:name w:val="Default"/>
    <w:qFormat/>
    <w:uiPriority w:val="0"/>
    <w:pPr>
      <w:widowControl w:val="0"/>
      <w:autoSpaceDE w:val="0"/>
      <w:autoSpaceDN w:val="0"/>
      <w:adjustRightInd w:val="0"/>
      <w:jc w:val="both"/>
    </w:pPr>
    <w:rPr>
      <w:rFonts w:ascii="宋体" w:hAnsi="Calibri" w:eastAsia="宋体" w:cs="宋体"/>
      <w:color w:val="000000"/>
      <w:sz w:val="24"/>
      <w:szCs w:val="24"/>
      <w:lang w:val="en-US" w:eastAsia="zh-CN" w:bidi="ar-SA"/>
    </w:rPr>
  </w:style>
  <w:style w:type="paragraph" w:styleId="96">
    <w:name w:val="No Spacing"/>
    <w:basedOn w:val="1"/>
    <w:next w:val="1"/>
    <w:qFormat/>
    <w:uiPriority w:val="1"/>
    <w:pPr>
      <w:ind w:firstLine="200" w:firstLineChars="200"/>
      <w:jc w:val="left"/>
    </w:pPr>
    <w:rPr>
      <w:rFonts w:eastAsia="仿宋_GB2312"/>
      <w:sz w:val="28"/>
    </w:rPr>
  </w:style>
  <w:style w:type="paragraph" w:customStyle="1" w:styleId="97">
    <w:name w:val="_Style 3"/>
    <w:basedOn w:val="1"/>
    <w:qFormat/>
    <w:uiPriority w:val="34"/>
    <w:pPr>
      <w:ind w:firstLine="420" w:firstLineChars="200"/>
    </w:pPr>
  </w:style>
  <w:style w:type="paragraph" w:customStyle="1" w:styleId="98">
    <w:name w:val="_Style 1"/>
    <w:basedOn w:val="1"/>
    <w:qFormat/>
    <w:uiPriority w:val="34"/>
    <w:pPr>
      <w:ind w:firstLine="420" w:firstLineChars="200"/>
    </w:pPr>
  </w:style>
  <w:style w:type="paragraph" w:customStyle="1" w:styleId="99">
    <w:name w:val="列出段落3"/>
    <w:basedOn w:val="1"/>
    <w:qFormat/>
    <w:uiPriority w:val="34"/>
    <w:pPr>
      <w:ind w:firstLine="420" w:firstLineChars="200"/>
    </w:pPr>
  </w:style>
  <w:style w:type="paragraph" w:styleId="100">
    <w:name w:val="List Paragraph"/>
    <w:basedOn w:val="1"/>
    <w:qFormat/>
    <w:uiPriority w:val="34"/>
    <w:pPr>
      <w:ind w:firstLine="420" w:firstLineChars="200"/>
    </w:pPr>
  </w:style>
  <w:style w:type="paragraph" w:customStyle="1" w:styleId="101">
    <w:name w:val="修订2"/>
    <w:hidden/>
    <w:unhideWhenUsed/>
    <w:qFormat/>
    <w:uiPriority w:val="99"/>
    <w:rPr>
      <w:rFonts w:ascii="Calibri" w:hAnsi="Calibri" w:eastAsia="宋体" w:cs="Times New Roman"/>
      <w:kern w:val="2"/>
      <w:sz w:val="21"/>
      <w:szCs w:val="22"/>
      <w:lang w:val="en-US" w:eastAsia="zh-CN" w:bidi="ar-SA"/>
    </w:rPr>
  </w:style>
  <w:style w:type="paragraph" w:customStyle="1" w:styleId="102">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03">
    <w:name w:val="TOC Heading"/>
    <w:basedOn w:val="4"/>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118</Pages>
  <Words>838</Words>
  <Characters>919</Characters>
  <Lines>413</Lines>
  <Paragraphs>116</Paragraphs>
  <TotalTime>1</TotalTime>
  <ScaleCrop>false</ScaleCrop>
  <LinksUpToDate>false</LinksUpToDate>
  <CharactersWithSpaces>1009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2025-12-11T16:47:00Z</dcterms:created>
  <dc:creator>zhuweiyu</dc:creator>
  <cp:lastModifiedBy>zhtwang</cp:lastModifiedBy>
  <cp:lastPrinted>2026-05-29T18:40:00Z</cp:lastPrinted>
  <dcterms:modified xsi:type="dcterms:W3CDTF">2026-06-09T15:48:34Z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4DECCA6C6D678B1E09C3276A8A5764B2_43</vt:lpwstr>
  </property>
  <property fmtid="{D5CDD505-2E9C-101B-9397-08002B2CF9AE}" pid="4" name="KSOTemplateDocerSaveRecord">
    <vt:lpwstr>eyJoZGlkIjoiZmE3YWY2MmVhMTc2MmM2OWMyMjBhZjk0ZDUyZDUzNTIiLCJ1c2VySWQiOiI0MzYxNjg3MjYifQ==</vt:lpwstr>
  </property>
</Properties>
</file>