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13029">
      <w:pPr>
        <w:widowControl/>
        <w:rPr>
          <w:rFonts w:ascii="黑体" w:hAnsi="宋体" w:eastAsia="黑体" w:cs="宋体"/>
          <w:bCs/>
          <w:kern w:val="0"/>
          <w:sz w:val="72"/>
          <w:szCs w:val="72"/>
        </w:rPr>
      </w:pPr>
      <w:bookmarkStart w:id="601" w:name="_GoBack"/>
      <w:bookmarkEnd w:id="601"/>
    </w:p>
    <w:p w14:paraId="2B40A966">
      <w:pPr>
        <w:widowControl/>
        <w:rPr>
          <w:rFonts w:ascii="黑体" w:hAnsi="宋体" w:eastAsia="黑体" w:cs="宋体"/>
          <w:bCs/>
          <w:kern w:val="0"/>
          <w:sz w:val="72"/>
          <w:szCs w:val="72"/>
        </w:rPr>
      </w:pPr>
    </w:p>
    <w:p w14:paraId="3D0B6DD6">
      <w:pPr>
        <w:widowControl/>
        <w:jc w:val="center"/>
        <w:rPr>
          <w:rFonts w:ascii="黑体" w:hAnsi="宋体" w:eastAsia="黑体" w:cs="宋体"/>
          <w:bCs/>
          <w:kern w:val="0"/>
          <w:sz w:val="72"/>
          <w:szCs w:val="72"/>
        </w:rPr>
      </w:pPr>
      <w:r>
        <w:rPr>
          <w:rFonts w:hint="eastAsia" w:ascii="黑体" w:hAnsi="宋体" w:eastAsia="黑体" w:cs="宋体"/>
          <w:bCs/>
          <w:kern w:val="0"/>
          <w:sz w:val="72"/>
          <w:szCs w:val="72"/>
        </w:rPr>
        <w:t>期货公司股票期权</w:t>
      </w:r>
    </w:p>
    <w:p w14:paraId="0E7B4950">
      <w:pPr>
        <w:widowControl/>
        <w:jc w:val="center"/>
        <w:rPr>
          <w:rFonts w:ascii="黑体" w:hAnsi="宋体" w:eastAsia="黑体" w:cs="宋体"/>
          <w:bCs/>
          <w:kern w:val="0"/>
          <w:sz w:val="72"/>
          <w:szCs w:val="72"/>
        </w:rPr>
      </w:pPr>
      <w:r>
        <w:rPr>
          <w:rFonts w:hint="eastAsia" w:ascii="黑体" w:hAnsi="宋体" w:eastAsia="黑体" w:cs="宋体"/>
          <w:bCs/>
          <w:kern w:val="0"/>
          <w:sz w:val="72"/>
          <w:szCs w:val="72"/>
        </w:rPr>
        <w:t>经纪业务指南</w:t>
      </w:r>
    </w:p>
    <w:p w14:paraId="450F91EB">
      <w:pPr>
        <w:widowControl/>
        <w:jc w:val="center"/>
        <w:rPr>
          <w:rFonts w:ascii="仿宋_GB2312" w:hAnsi="仿宋" w:eastAsia="仿宋_GB2312"/>
          <w:sz w:val="30"/>
          <w:szCs w:val="30"/>
        </w:rPr>
      </w:pPr>
      <w:r>
        <w:rPr>
          <w:rFonts w:hint="eastAsia" w:ascii="仿宋_GB2312" w:hAnsi="仿宋" w:eastAsia="仿宋_GB2312"/>
          <w:sz w:val="30"/>
          <w:szCs w:val="30"/>
        </w:rPr>
        <w:t>（202</w:t>
      </w:r>
      <w:r>
        <w:rPr>
          <w:rFonts w:hint="eastAsia" w:ascii="仿宋_GB2312" w:hAnsi="仿宋" w:eastAsia="仿宋_GB2312"/>
          <w:sz w:val="30"/>
          <w:szCs w:val="30"/>
          <w:lang w:val="en-US" w:eastAsia="zh-CN"/>
        </w:rPr>
        <w:t>6</w:t>
      </w:r>
      <w:r>
        <w:rPr>
          <w:rFonts w:hint="eastAsia" w:ascii="仿宋_GB2312" w:hAnsi="仿宋" w:eastAsia="仿宋_GB2312"/>
          <w:sz w:val="30"/>
          <w:szCs w:val="30"/>
        </w:rPr>
        <w:t>年修订）</w:t>
      </w:r>
    </w:p>
    <w:p w14:paraId="46B8E890">
      <w:pPr>
        <w:spacing w:before="120" w:after="120"/>
        <w:jc w:val="center"/>
        <w:rPr>
          <w:rFonts w:ascii="仿宋_GB2312" w:hAnsi="Times New Roman" w:eastAsia="仿宋_GB2312"/>
          <w:b/>
          <w:color w:val="000000"/>
          <w:kern w:val="44"/>
          <w:sz w:val="52"/>
          <w:szCs w:val="52"/>
        </w:rPr>
      </w:pPr>
    </w:p>
    <w:p w14:paraId="1C05C1DA">
      <w:pPr>
        <w:spacing w:before="120" w:after="120"/>
        <w:jc w:val="center"/>
        <w:rPr>
          <w:rFonts w:ascii="仿宋_GB2312" w:hAnsi="Times New Roman" w:eastAsia="仿宋_GB2312"/>
          <w:b/>
          <w:color w:val="000000"/>
          <w:kern w:val="44"/>
          <w:sz w:val="52"/>
          <w:szCs w:val="52"/>
        </w:rPr>
      </w:pPr>
    </w:p>
    <w:p w14:paraId="64B5A4A0">
      <w:pPr>
        <w:spacing w:before="120" w:after="120"/>
        <w:jc w:val="center"/>
        <w:rPr>
          <w:rFonts w:ascii="仿宋_GB2312" w:hAnsi="Times New Roman" w:eastAsia="仿宋_GB2312"/>
          <w:b/>
          <w:color w:val="000000"/>
          <w:kern w:val="44"/>
          <w:sz w:val="52"/>
          <w:szCs w:val="52"/>
        </w:rPr>
      </w:pPr>
    </w:p>
    <w:p w14:paraId="30318B09">
      <w:pPr>
        <w:spacing w:before="120" w:after="120"/>
        <w:jc w:val="center"/>
        <w:rPr>
          <w:rFonts w:ascii="仿宋_GB2312" w:hAnsi="Times New Roman" w:eastAsia="仿宋_GB2312"/>
          <w:b/>
          <w:color w:val="000000"/>
          <w:kern w:val="44"/>
          <w:sz w:val="52"/>
          <w:szCs w:val="52"/>
        </w:rPr>
      </w:pPr>
    </w:p>
    <w:p w14:paraId="613B197F">
      <w:pPr>
        <w:widowControl/>
        <w:spacing w:line="408" w:lineRule="auto"/>
        <w:jc w:val="center"/>
        <w:rPr>
          <w:rFonts w:ascii="宋体" w:hAnsi="宋体" w:cs="宋体"/>
          <w:b/>
          <w:kern w:val="0"/>
          <w:sz w:val="32"/>
          <w:szCs w:val="32"/>
          <w:highlight w:val="none"/>
        </w:rPr>
      </w:pPr>
      <w:r>
        <w:rPr>
          <w:rFonts w:hint="eastAsia" w:ascii="宋体" w:hAnsi="宋体" w:cs="宋体"/>
          <w:b/>
          <w:kern w:val="0"/>
          <w:sz w:val="32"/>
          <w:szCs w:val="32"/>
          <w:highlight w:val="none"/>
        </w:rPr>
        <w:t>上海证券交易所</w:t>
      </w:r>
    </w:p>
    <w:p w14:paraId="668013AD">
      <w:pPr>
        <w:widowControl/>
        <w:spacing w:line="408" w:lineRule="auto"/>
        <w:jc w:val="center"/>
        <w:rPr>
          <w:rFonts w:ascii="宋体" w:hAnsi="宋体" w:cs="宋体"/>
          <w:b/>
          <w:kern w:val="0"/>
          <w:sz w:val="32"/>
          <w:szCs w:val="32"/>
          <w:highlight w:val="none"/>
        </w:rPr>
      </w:pPr>
      <w:r>
        <w:rPr>
          <w:rFonts w:ascii="宋体" w:hAnsi="宋体" w:cs="宋体"/>
          <w:b/>
          <w:kern w:val="0"/>
          <w:sz w:val="32"/>
          <w:szCs w:val="32"/>
          <w:highlight w:val="none"/>
        </w:rPr>
        <w:t>20</w:t>
      </w:r>
      <w:r>
        <w:rPr>
          <w:rFonts w:hint="eastAsia" w:ascii="宋体" w:hAnsi="宋体" w:cs="宋体"/>
          <w:b/>
          <w:kern w:val="0"/>
          <w:sz w:val="32"/>
          <w:szCs w:val="32"/>
          <w:highlight w:val="none"/>
        </w:rPr>
        <w:t>2</w:t>
      </w:r>
      <w:r>
        <w:rPr>
          <w:rFonts w:hint="eastAsia" w:ascii="宋体" w:hAnsi="宋体" w:cs="宋体"/>
          <w:b/>
          <w:kern w:val="0"/>
          <w:sz w:val="32"/>
          <w:szCs w:val="32"/>
          <w:highlight w:val="none"/>
          <w:lang w:val="en-US" w:eastAsia="zh-CN"/>
        </w:rPr>
        <w:t>6</w:t>
      </w:r>
      <w:r>
        <w:rPr>
          <w:rFonts w:ascii="宋体" w:hAnsi="宋体" w:cs="宋体"/>
          <w:b/>
          <w:kern w:val="0"/>
          <w:sz w:val="32"/>
          <w:szCs w:val="32"/>
          <w:highlight w:val="none"/>
        </w:rPr>
        <w:t>年</w:t>
      </w:r>
      <w:r>
        <w:rPr>
          <w:rFonts w:hint="eastAsia" w:ascii="宋体" w:hAnsi="宋体" w:cs="宋体"/>
          <w:b/>
          <w:kern w:val="0"/>
          <w:sz w:val="32"/>
          <w:szCs w:val="32"/>
          <w:highlight w:val="none"/>
          <w:lang w:val="en-US" w:eastAsia="zh-CN"/>
        </w:rPr>
        <w:t>6</w:t>
      </w:r>
      <w:r>
        <w:rPr>
          <w:rFonts w:hint="eastAsia" w:ascii="宋体" w:hAnsi="宋体" w:cs="宋体"/>
          <w:b/>
          <w:kern w:val="0"/>
          <w:sz w:val="32"/>
          <w:szCs w:val="32"/>
          <w:highlight w:val="none"/>
        </w:rPr>
        <w:t>月</w:t>
      </w:r>
    </w:p>
    <w:p w14:paraId="2DA1CC71">
      <w:pPr>
        <w:widowControl/>
        <w:rPr>
          <w:rFonts w:ascii="仿宋_GB2312" w:hAnsi="Times New Roman" w:eastAsia="仿宋_GB2312"/>
          <w:b/>
          <w:bCs/>
          <w:sz w:val="44"/>
          <w:szCs w:val="44"/>
        </w:rPr>
      </w:pPr>
    </w:p>
    <w:p w14:paraId="0C3F0F62">
      <w:pPr>
        <w:widowControl/>
        <w:rPr>
          <w:rFonts w:ascii="仿宋_GB2312" w:hAnsi="Times New Roman" w:eastAsia="仿宋_GB2312"/>
          <w:b/>
          <w:bCs/>
          <w:sz w:val="44"/>
          <w:szCs w:val="44"/>
        </w:rPr>
      </w:pPr>
    </w:p>
    <w:p w14:paraId="09D3C61D">
      <w:pPr>
        <w:widowControl/>
        <w:rPr>
          <w:rFonts w:ascii="仿宋_GB2312" w:hAnsi="Times New Roman" w:eastAsia="仿宋_GB2312"/>
          <w:b/>
          <w:bCs/>
          <w:sz w:val="44"/>
          <w:szCs w:val="44"/>
        </w:rPr>
      </w:pPr>
    </w:p>
    <w:p w14:paraId="2144CCBE">
      <w:pPr>
        <w:widowControl/>
        <w:rPr>
          <w:rFonts w:hint="eastAsia" w:ascii="仿宋_GB2312" w:hAnsi="Times New Roman" w:eastAsia="仿宋_GB2312"/>
          <w:b/>
          <w:bCs/>
          <w:sz w:val="44"/>
          <w:szCs w:val="44"/>
          <w:lang w:val="en-US" w:eastAsia="zh-CN"/>
        </w:rPr>
      </w:pPr>
    </w:p>
    <w:p w14:paraId="62234F48">
      <w:pPr>
        <w:pStyle w:val="2"/>
        <w:rPr>
          <w:rFonts w:hint="eastAsia" w:ascii="仿宋_GB2312" w:hAnsi="Times New Roman" w:eastAsia="仿宋_GB2312"/>
          <w:b/>
          <w:bCs/>
          <w:sz w:val="44"/>
          <w:szCs w:val="44"/>
          <w:lang w:val="en-US" w:eastAsia="zh-CN"/>
        </w:rPr>
      </w:pPr>
    </w:p>
    <w:p w14:paraId="7905C17A">
      <w:pPr>
        <w:pStyle w:val="2"/>
        <w:rPr>
          <w:rFonts w:hint="eastAsia" w:ascii="仿宋_GB2312" w:hAnsi="Times New Roman" w:eastAsia="仿宋_GB2312"/>
          <w:b/>
          <w:bCs/>
          <w:sz w:val="44"/>
          <w:szCs w:val="44"/>
          <w:lang w:val="en-US" w:eastAsia="zh-CN"/>
        </w:rPr>
      </w:pPr>
    </w:p>
    <w:p w14:paraId="421E2817">
      <w:pPr>
        <w:pStyle w:val="20"/>
        <w:tabs>
          <w:tab w:val="right" w:leader="dot" w:pos="8306"/>
        </w:tabs>
        <w:jc w:val="center"/>
        <w:rPr>
          <w:rFonts w:hint="default" w:ascii="仿宋_GB2312" w:hAnsi="Times New Roman" w:eastAsia="仿宋_GB2312"/>
          <w:sz w:val="44"/>
          <w:szCs w:val="44"/>
          <w:highlight w:val="none"/>
        </w:rPr>
      </w:pPr>
      <w:r>
        <w:rPr>
          <w:rFonts w:hint="eastAsia" w:ascii="仿宋_GB2312" w:hAnsi="Times New Roman" w:eastAsia="仿宋_GB2312"/>
          <w:sz w:val="44"/>
          <w:szCs w:val="44"/>
          <w:highlight w:val="none"/>
        </w:rPr>
        <w:t>目录</w:t>
      </w:r>
    </w:p>
    <w:p w14:paraId="4F3C6791">
      <w:pPr>
        <w:pStyle w:val="20"/>
        <w:tabs>
          <w:tab w:val="right" w:leader="dot" w:pos="8306"/>
        </w:tabs>
        <w:rPr>
          <w:highlight w:val="none"/>
        </w:rPr>
      </w:pPr>
      <w:r>
        <w:rPr>
          <w:rFonts w:hint="eastAsia"/>
          <w:highlight w:val="none"/>
        </w:rPr>
        <w:t xml:space="preserve">    </w:t>
      </w:r>
      <w:r>
        <w:rPr>
          <w:rFonts w:hint="eastAsia"/>
          <w:highlight w:val="none"/>
        </w:rPr>
        <w:fldChar w:fldCharType="begin"/>
      </w:r>
      <w:r>
        <w:rPr>
          <w:rFonts w:hint="eastAsia"/>
          <w:highlight w:val="none"/>
        </w:rPr>
        <w:instrText xml:space="preserve">TOC \o "1-3" \h \u </w:instrText>
      </w:r>
      <w:r>
        <w:rPr>
          <w:rFonts w:hint="eastAsia"/>
          <w:highlight w:val="none"/>
        </w:rPr>
        <w:fldChar w:fldCharType="separate"/>
      </w:r>
    </w:p>
    <w:p w14:paraId="3F95384E">
      <w:pPr>
        <w:pStyle w:val="20"/>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"_Toc23946955" </w:instrText>
      </w:r>
      <w:r>
        <w:rPr>
          <w:highlight w:val="none"/>
        </w:rPr>
        <w:fldChar w:fldCharType="separate"/>
      </w:r>
      <w:r>
        <w:rPr>
          <w:rStyle w:val="36"/>
          <w:rFonts w:hint="eastAsia" w:ascii="Times New Roman" w:hAnsi="Times New Roman" w:eastAsia="黑体"/>
          <w:highlight w:val="none"/>
        </w:rPr>
        <w:t>说明及声明</w:t>
      </w:r>
      <w:r>
        <w:rPr>
          <w:highlight w:val="none"/>
        </w:rPr>
        <w:tab/>
      </w:r>
      <w:r>
        <w:rPr>
          <w:highlight w:val="none"/>
        </w:rPr>
        <w:fldChar w:fldCharType="begin"/>
      </w:r>
      <w:r>
        <w:rPr>
          <w:highlight w:val="none"/>
        </w:rPr>
        <w:instrText xml:space="preserve"> PAGEREF _Toc23946955 \h </w:instrText>
      </w:r>
      <w:r>
        <w:rPr>
          <w:highlight w:val="none"/>
        </w:rPr>
        <w:fldChar w:fldCharType="separate"/>
      </w:r>
      <w:r>
        <w:rPr>
          <w:highlight w:val="none"/>
        </w:rPr>
        <w:t>1</w:t>
      </w:r>
      <w:r>
        <w:rPr>
          <w:highlight w:val="none"/>
        </w:rPr>
        <w:fldChar w:fldCharType="end"/>
      </w:r>
      <w:r>
        <w:rPr>
          <w:highlight w:val="none"/>
        </w:rPr>
        <w:fldChar w:fldCharType="end"/>
      </w:r>
    </w:p>
    <w:p w14:paraId="411E2004">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"_Toc23946956" </w:instrText>
      </w:r>
      <w:r>
        <w:rPr>
          <w:highlight w:val="none"/>
        </w:rPr>
        <w:fldChar w:fldCharType="separate"/>
      </w:r>
      <w:r>
        <w:rPr>
          <w:rStyle w:val="36"/>
          <w:rFonts w:hint="eastAsia" w:ascii="黑体" w:hAnsi="黑体" w:eastAsia="黑体"/>
          <w:highlight w:val="none"/>
        </w:rPr>
        <w:t>第一章</w:t>
      </w:r>
      <w:r>
        <w:rPr>
          <w:rStyle w:val="36"/>
          <w:rFonts w:ascii="黑体" w:hAnsi="黑体" w:eastAsia="黑体"/>
          <w:highlight w:val="none"/>
        </w:rPr>
        <w:t xml:space="preserve"> </w:t>
      </w:r>
      <w:r>
        <w:rPr>
          <w:rStyle w:val="36"/>
          <w:rFonts w:hint="eastAsia" w:ascii="黑体" w:hAnsi="黑体" w:eastAsia="黑体"/>
          <w:highlight w:val="none"/>
        </w:rPr>
        <w:t>总体要求</w:t>
      </w:r>
      <w:r>
        <w:rPr>
          <w:highlight w:val="none"/>
        </w:rPr>
        <w:tab/>
      </w:r>
      <w:r>
        <w:rPr>
          <w:highlight w:val="none"/>
        </w:rPr>
        <w:fldChar w:fldCharType="begin"/>
      </w:r>
      <w:r>
        <w:rPr>
          <w:highlight w:val="none"/>
        </w:rPr>
        <w:instrText xml:space="preserve"> PAGEREF _Toc23946956 \h </w:instrText>
      </w:r>
      <w:r>
        <w:rPr>
          <w:highlight w:val="none"/>
        </w:rPr>
        <w:fldChar w:fldCharType="separate"/>
      </w:r>
      <w:r>
        <w:rPr>
          <w:highlight w:val="none"/>
        </w:rPr>
        <w:t>2</w:t>
      </w:r>
      <w:r>
        <w:rPr>
          <w:highlight w:val="none"/>
        </w:rPr>
        <w:fldChar w:fldCharType="end"/>
      </w:r>
      <w:r>
        <w:rPr>
          <w:highlight w:val="none"/>
        </w:rPr>
        <w:fldChar w:fldCharType="end"/>
      </w:r>
    </w:p>
    <w:p w14:paraId="4366B90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"_Toc23946957" </w:instrText>
      </w:r>
      <w:r>
        <w:rPr>
          <w:highlight w:val="none"/>
        </w:rPr>
        <w:fldChar w:fldCharType="separate"/>
      </w:r>
      <w:r>
        <w:rPr>
          <w:rStyle w:val="36"/>
          <w:rFonts w:hint="eastAsia"/>
          <w:highlight w:val="none"/>
        </w:rPr>
        <w:t>一、组织架构和职责分工</w:t>
      </w:r>
      <w:r>
        <w:rPr>
          <w:highlight w:val="none"/>
        </w:rPr>
        <w:tab/>
      </w:r>
      <w:r>
        <w:rPr>
          <w:highlight w:val="none"/>
        </w:rPr>
        <w:fldChar w:fldCharType="begin"/>
      </w:r>
      <w:r>
        <w:rPr>
          <w:highlight w:val="none"/>
        </w:rPr>
        <w:instrText xml:space="preserve"> PAGEREF _Toc23946957 \h </w:instrText>
      </w:r>
      <w:r>
        <w:rPr>
          <w:highlight w:val="none"/>
        </w:rPr>
        <w:fldChar w:fldCharType="separate"/>
      </w:r>
      <w:r>
        <w:rPr>
          <w:highlight w:val="none"/>
        </w:rPr>
        <w:t>2</w:t>
      </w:r>
      <w:r>
        <w:rPr>
          <w:highlight w:val="none"/>
        </w:rPr>
        <w:fldChar w:fldCharType="end"/>
      </w:r>
      <w:r>
        <w:rPr>
          <w:highlight w:val="none"/>
        </w:rPr>
        <w:fldChar w:fldCharType="end"/>
      </w:r>
    </w:p>
    <w:p w14:paraId="1C95178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"_Toc23946958" </w:instrText>
      </w:r>
      <w:r>
        <w:rPr>
          <w:highlight w:val="none"/>
        </w:rPr>
        <w:fldChar w:fldCharType="separate"/>
      </w:r>
      <w:r>
        <w:rPr>
          <w:rStyle w:val="36"/>
          <w:rFonts w:hint="eastAsia"/>
          <w:highlight w:val="none"/>
        </w:rPr>
        <w:t>二、岗位设置</w:t>
      </w:r>
      <w:r>
        <w:rPr>
          <w:highlight w:val="none"/>
        </w:rPr>
        <w:tab/>
      </w:r>
      <w:r>
        <w:rPr>
          <w:highlight w:val="none"/>
        </w:rPr>
        <w:fldChar w:fldCharType="begin"/>
      </w:r>
      <w:r>
        <w:rPr>
          <w:highlight w:val="none"/>
        </w:rPr>
        <w:instrText xml:space="preserve"> PAGEREF _Toc23946958 \h </w:instrText>
      </w:r>
      <w:r>
        <w:rPr>
          <w:highlight w:val="none"/>
        </w:rPr>
        <w:fldChar w:fldCharType="separate"/>
      </w:r>
      <w:r>
        <w:rPr>
          <w:highlight w:val="none"/>
        </w:rPr>
        <w:t>3</w:t>
      </w:r>
      <w:r>
        <w:rPr>
          <w:highlight w:val="none"/>
        </w:rPr>
        <w:fldChar w:fldCharType="end"/>
      </w:r>
      <w:r>
        <w:rPr>
          <w:highlight w:val="none"/>
        </w:rPr>
        <w:fldChar w:fldCharType="end"/>
      </w:r>
    </w:p>
    <w:p w14:paraId="13AF5F69">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"_Toc23946959" </w:instrText>
      </w:r>
      <w:r>
        <w:rPr>
          <w:highlight w:val="none"/>
        </w:rPr>
        <w:fldChar w:fldCharType="separate"/>
      </w:r>
      <w:r>
        <w:rPr>
          <w:rStyle w:val="36"/>
          <w:rFonts w:hint="eastAsia"/>
          <w:highlight w:val="none"/>
        </w:rPr>
        <w:t>三、制度与流程</w:t>
      </w:r>
      <w:r>
        <w:rPr>
          <w:highlight w:val="none"/>
        </w:rPr>
        <w:tab/>
      </w:r>
      <w:r>
        <w:rPr>
          <w:highlight w:val="none"/>
        </w:rPr>
        <w:fldChar w:fldCharType="begin"/>
      </w:r>
      <w:r>
        <w:rPr>
          <w:highlight w:val="none"/>
        </w:rPr>
        <w:instrText xml:space="preserve"> PAGEREF _Toc23946959 \h </w:instrText>
      </w:r>
      <w:r>
        <w:rPr>
          <w:highlight w:val="none"/>
        </w:rPr>
        <w:fldChar w:fldCharType="separate"/>
      </w:r>
      <w:r>
        <w:rPr>
          <w:highlight w:val="none"/>
        </w:rPr>
        <w:t>4</w:t>
      </w:r>
      <w:r>
        <w:rPr>
          <w:highlight w:val="none"/>
        </w:rPr>
        <w:fldChar w:fldCharType="end"/>
      </w:r>
      <w:r>
        <w:rPr>
          <w:highlight w:val="none"/>
        </w:rPr>
        <w:fldChar w:fldCharType="end"/>
      </w:r>
    </w:p>
    <w:p w14:paraId="1D1951EE">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"_Toc23946960" </w:instrText>
      </w:r>
      <w:r>
        <w:rPr>
          <w:highlight w:val="none"/>
        </w:rPr>
        <w:fldChar w:fldCharType="separate"/>
      </w:r>
      <w:r>
        <w:rPr>
          <w:rStyle w:val="36"/>
          <w:rFonts w:hint="eastAsia"/>
          <w:highlight w:val="none"/>
        </w:rPr>
        <w:t>四、合规与内控管理</w:t>
      </w:r>
      <w:r>
        <w:rPr>
          <w:highlight w:val="none"/>
        </w:rPr>
        <w:tab/>
      </w:r>
      <w:r>
        <w:rPr>
          <w:highlight w:val="none"/>
        </w:rPr>
        <w:fldChar w:fldCharType="begin"/>
      </w:r>
      <w:r>
        <w:rPr>
          <w:highlight w:val="none"/>
        </w:rPr>
        <w:instrText xml:space="preserve"> PAGEREF _Toc23946960 \h </w:instrText>
      </w:r>
      <w:r>
        <w:rPr>
          <w:highlight w:val="none"/>
        </w:rPr>
        <w:fldChar w:fldCharType="separate"/>
      </w:r>
      <w:r>
        <w:rPr>
          <w:highlight w:val="none"/>
        </w:rPr>
        <w:t>5</w:t>
      </w:r>
      <w:r>
        <w:rPr>
          <w:highlight w:val="none"/>
        </w:rPr>
        <w:fldChar w:fldCharType="end"/>
      </w:r>
      <w:r>
        <w:rPr>
          <w:highlight w:val="none"/>
        </w:rPr>
        <w:fldChar w:fldCharType="end"/>
      </w:r>
    </w:p>
    <w:p w14:paraId="604BA65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"_Toc23946961" </w:instrText>
      </w:r>
      <w:r>
        <w:rPr>
          <w:highlight w:val="none"/>
        </w:rPr>
        <w:fldChar w:fldCharType="separate"/>
      </w:r>
      <w:r>
        <w:rPr>
          <w:rStyle w:val="36"/>
          <w:rFonts w:hint="eastAsia"/>
          <w:highlight w:val="none"/>
        </w:rPr>
        <w:t>五、技术系统</w:t>
      </w:r>
      <w:r>
        <w:rPr>
          <w:highlight w:val="none"/>
        </w:rPr>
        <w:tab/>
      </w:r>
      <w:r>
        <w:rPr>
          <w:highlight w:val="none"/>
        </w:rPr>
        <w:fldChar w:fldCharType="begin"/>
      </w:r>
      <w:r>
        <w:rPr>
          <w:highlight w:val="none"/>
        </w:rPr>
        <w:instrText xml:space="preserve"> PAGEREF _Toc23946961 \h </w:instrText>
      </w:r>
      <w:r>
        <w:rPr>
          <w:highlight w:val="none"/>
        </w:rPr>
        <w:fldChar w:fldCharType="separate"/>
      </w:r>
      <w:r>
        <w:rPr>
          <w:highlight w:val="none"/>
        </w:rPr>
        <w:t>8</w:t>
      </w:r>
      <w:r>
        <w:rPr>
          <w:highlight w:val="none"/>
        </w:rPr>
        <w:fldChar w:fldCharType="end"/>
      </w:r>
      <w:r>
        <w:rPr>
          <w:highlight w:val="none"/>
        </w:rPr>
        <w:fldChar w:fldCharType="end"/>
      </w:r>
    </w:p>
    <w:p w14:paraId="70CD5260">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"_Toc23946962" </w:instrText>
      </w:r>
      <w:r>
        <w:rPr>
          <w:highlight w:val="none"/>
        </w:rPr>
        <w:fldChar w:fldCharType="separate"/>
      </w:r>
      <w:r>
        <w:rPr>
          <w:rStyle w:val="36"/>
          <w:rFonts w:hint="eastAsia"/>
          <w:highlight w:val="none"/>
        </w:rPr>
        <w:t>六、交易单元</w:t>
      </w:r>
      <w:r>
        <w:rPr>
          <w:highlight w:val="none"/>
        </w:rPr>
        <w:tab/>
      </w:r>
      <w:r>
        <w:rPr>
          <w:highlight w:val="none"/>
        </w:rPr>
        <w:fldChar w:fldCharType="begin"/>
      </w:r>
      <w:r>
        <w:rPr>
          <w:highlight w:val="none"/>
        </w:rPr>
        <w:instrText xml:space="preserve"> PAGEREF _Toc23946962 \h </w:instrText>
      </w:r>
      <w:r>
        <w:rPr>
          <w:highlight w:val="none"/>
        </w:rPr>
        <w:fldChar w:fldCharType="separate"/>
      </w:r>
      <w:r>
        <w:rPr>
          <w:highlight w:val="none"/>
        </w:rPr>
        <w:t>8</w:t>
      </w:r>
      <w:r>
        <w:rPr>
          <w:highlight w:val="none"/>
        </w:rPr>
        <w:fldChar w:fldCharType="end"/>
      </w:r>
      <w:r>
        <w:rPr>
          <w:highlight w:val="none"/>
        </w:rPr>
        <w:fldChar w:fldCharType="end"/>
      </w:r>
    </w:p>
    <w:p w14:paraId="081A44C3">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"_Toc23946963" </w:instrText>
      </w:r>
      <w:r>
        <w:rPr>
          <w:highlight w:val="none"/>
        </w:rPr>
        <w:fldChar w:fldCharType="separate"/>
      </w:r>
      <w:r>
        <w:rPr>
          <w:rStyle w:val="36"/>
          <w:rFonts w:hint="eastAsia" w:ascii="黑体" w:hAnsi="黑体" w:eastAsia="黑体"/>
          <w:highlight w:val="none"/>
        </w:rPr>
        <w:t>第二章</w:t>
      </w:r>
      <w:r>
        <w:rPr>
          <w:rStyle w:val="36"/>
          <w:rFonts w:ascii="黑体" w:hAnsi="黑体" w:eastAsia="黑体"/>
          <w:highlight w:val="none"/>
        </w:rPr>
        <w:t xml:space="preserve"> </w:t>
      </w:r>
      <w:r>
        <w:rPr>
          <w:rStyle w:val="36"/>
          <w:rFonts w:hint="eastAsia" w:ascii="黑体" w:hAnsi="黑体" w:eastAsia="黑体"/>
          <w:highlight w:val="none"/>
        </w:rPr>
        <w:t>股票期权经纪业务申请</w:t>
      </w:r>
      <w:r>
        <w:rPr>
          <w:highlight w:val="none"/>
        </w:rPr>
        <w:tab/>
      </w:r>
      <w:r>
        <w:rPr>
          <w:highlight w:val="none"/>
        </w:rPr>
        <w:fldChar w:fldCharType="begin"/>
      </w:r>
      <w:r>
        <w:rPr>
          <w:highlight w:val="none"/>
        </w:rPr>
        <w:instrText xml:space="preserve"> PAGEREF _Toc23946963 \h </w:instrText>
      </w:r>
      <w:r>
        <w:rPr>
          <w:highlight w:val="none"/>
        </w:rPr>
        <w:fldChar w:fldCharType="separate"/>
      </w:r>
      <w:r>
        <w:rPr>
          <w:highlight w:val="none"/>
        </w:rPr>
        <w:t>9</w:t>
      </w:r>
      <w:r>
        <w:rPr>
          <w:highlight w:val="none"/>
        </w:rPr>
        <w:fldChar w:fldCharType="end"/>
      </w:r>
      <w:r>
        <w:rPr>
          <w:highlight w:val="none"/>
        </w:rPr>
        <w:fldChar w:fldCharType="end"/>
      </w:r>
    </w:p>
    <w:p w14:paraId="46654B53">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"_Toc23946964" </w:instrText>
      </w:r>
      <w:r>
        <w:rPr>
          <w:highlight w:val="none"/>
        </w:rPr>
        <w:fldChar w:fldCharType="separate"/>
      </w:r>
      <w:r>
        <w:rPr>
          <w:rStyle w:val="36"/>
          <w:rFonts w:hint="eastAsia"/>
          <w:highlight w:val="none"/>
        </w:rPr>
        <w:t>一、申请本所会员业务数字证书</w:t>
      </w:r>
      <w:r>
        <w:rPr>
          <w:highlight w:val="none"/>
        </w:rPr>
        <w:tab/>
      </w:r>
      <w:r>
        <w:rPr>
          <w:highlight w:val="none"/>
        </w:rPr>
        <w:fldChar w:fldCharType="begin"/>
      </w:r>
      <w:r>
        <w:rPr>
          <w:highlight w:val="none"/>
        </w:rPr>
        <w:instrText xml:space="preserve"> PAGEREF _Toc23946964 \h </w:instrText>
      </w:r>
      <w:r>
        <w:rPr>
          <w:highlight w:val="none"/>
        </w:rPr>
        <w:fldChar w:fldCharType="separate"/>
      </w:r>
      <w:r>
        <w:rPr>
          <w:highlight w:val="none"/>
        </w:rPr>
        <w:t>9</w:t>
      </w:r>
      <w:r>
        <w:rPr>
          <w:highlight w:val="none"/>
        </w:rPr>
        <w:fldChar w:fldCharType="end"/>
      </w:r>
      <w:r>
        <w:rPr>
          <w:highlight w:val="none"/>
        </w:rPr>
        <w:fldChar w:fldCharType="end"/>
      </w:r>
    </w:p>
    <w:p w14:paraId="0B6F07C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"_Toc23946965" </w:instrText>
      </w:r>
      <w:r>
        <w:rPr>
          <w:highlight w:val="none"/>
        </w:rPr>
        <w:fldChar w:fldCharType="separate"/>
      </w:r>
      <w:r>
        <w:rPr>
          <w:rStyle w:val="36"/>
          <w:rFonts w:hint="eastAsia"/>
          <w:highlight w:val="none"/>
        </w:rPr>
        <w:t>二、期货公司登记</w:t>
      </w:r>
      <w:r>
        <w:rPr>
          <w:highlight w:val="none"/>
        </w:rPr>
        <w:tab/>
      </w:r>
      <w:r>
        <w:rPr>
          <w:highlight w:val="none"/>
        </w:rPr>
        <w:fldChar w:fldCharType="begin"/>
      </w:r>
      <w:r>
        <w:rPr>
          <w:highlight w:val="none"/>
        </w:rPr>
        <w:instrText xml:space="preserve"> PAGEREF _Toc23946965 \h </w:instrText>
      </w:r>
      <w:r>
        <w:rPr>
          <w:highlight w:val="none"/>
        </w:rPr>
        <w:fldChar w:fldCharType="separate"/>
      </w:r>
      <w:r>
        <w:rPr>
          <w:highlight w:val="none"/>
        </w:rPr>
        <w:t>10</w:t>
      </w:r>
      <w:r>
        <w:rPr>
          <w:highlight w:val="none"/>
        </w:rPr>
        <w:fldChar w:fldCharType="end"/>
      </w:r>
      <w:r>
        <w:rPr>
          <w:highlight w:val="none"/>
        </w:rPr>
        <w:fldChar w:fldCharType="end"/>
      </w:r>
    </w:p>
    <w:p w14:paraId="1A360B50">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"_Toc23946966" </w:instrText>
      </w:r>
      <w:r>
        <w:rPr>
          <w:highlight w:val="none"/>
        </w:rPr>
        <w:fldChar w:fldCharType="separate"/>
      </w:r>
      <w:r>
        <w:rPr>
          <w:rStyle w:val="36"/>
          <w:rFonts w:hint="eastAsia"/>
          <w:highlight w:val="none"/>
        </w:rPr>
        <w:t>三、交易单元新设</w:t>
      </w:r>
      <w:r>
        <w:rPr>
          <w:highlight w:val="none"/>
        </w:rPr>
        <w:tab/>
      </w:r>
      <w:r>
        <w:rPr>
          <w:highlight w:val="none"/>
        </w:rPr>
        <w:fldChar w:fldCharType="begin"/>
      </w:r>
      <w:r>
        <w:rPr>
          <w:highlight w:val="none"/>
        </w:rPr>
        <w:instrText xml:space="preserve"> PAGEREF _Toc23946966 \h </w:instrText>
      </w:r>
      <w:r>
        <w:rPr>
          <w:highlight w:val="none"/>
        </w:rPr>
        <w:fldChar w:fldCharType="separate"/>
      </w:r>
      <w:r>
        <w:rPr>
          <w:highlight w:val="none"/>
        </w:rPr>
        <w:t>10</w:t>
      </w:r>
      <w:r>
        <w:rPr>
          <w:highlight w:val="none"/>
        </w:rPr>
        <w:fldChar w:fldCharType="end"/>
      </w:r>
      <w:r>
        <w:rPr>
          <w:highlight w:val="none"/>
        </w:rPr>
        <w:fldChar w:fldCharType="end"/>
      </w:r>
    </w:p>
    <w:p w14:paraId="7C13AF95">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"_Toc23946967" </w:instrText>
      </w:r>
      <w:r>
        <w:rPr>
          <w:highlight w:val="none"/>
        </w:rPr>
        <w:fldChar w:fldCharType="separate"/>
      </w:r>
      <w:r>
        <w:rPr>
          <w:rStyle w:val="36"/>
          <w:rFonts w:hint="eastAsia"/>
          <w:highlight w:val="none"/>
        </w:rPr>
        <w:t>四、申请股票期权交易参与人</w:t>
      </w:r>
      <w:r>
        <w:rPr>
          <w:highlight w:val="none"/>
        </w:rPr>
        <w:tab/>
      </w:r>
      <w:r>
        <w:rPr>
          <w:highlight w:val="none"/>
        </w:rPr>
        <w:fldChar w:fldCharType="begin"/>
      </w:r>
      <w:r>
        <w:rPr>
          <w:highlight w:val="none"/>
        </w:rPr>
        <w:instrText xml:space="preserve"> PAGEREF _Toc23946967 \h </w:instrText>
      </w:r>
      <w:r>
        <w:rPr>
          <w:highlight w:val="none"/>
        </w:rPr>
        <w:fldChar w:fldCharType="separate"/>
      </w:r>
      <w:r>
        <w:rPr>
          <w:highlight w:val="none"/>
        </w:rPr>
        <w:t>11</w:t>
      </w:r>
      <w:r>
        <w:rPr>
          <w:highlight w:val="none"/>
        </w:rPr>
        <w:fldChar w:fldCharType="end"/>
      </w:r>
      <w:r>
        <w:rPr>
          <w:highlight w:val="none"/>
        </w:rPr>
        <w:fldChar w:fldCharType="end"/>
      </w:r>
    </w:p>
    <w:p w14:paraId="0FEC956E">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"_Toc23946968" </w:instrText>
      </w:r>
      <w:r>
        <w:rPr>
          <w:highlight w:val="none"/>
        </w:rPr>
        <w:fldChar w:fldCharType="separate"/>
      </w:r>
      <w:r>
        <w:rPr>
          <w:rStyle w:val="36"/>
          <w:rFonts w:hint="eastAsia"/>
          <w:highlight w:val="none"/>
        </w:rPr>
        <w:t>五、结算路径与交易开通</w:t>
      </w:r>
      <w:r>
        <w:rPr>
          <w:highlight w:val="none"/>
        </w:rPr>
        <w:tab/>
      </w:r>
      <w:r>
        <w:rPr>
          <w:highlight w:val="none"/>
        </w:rPr>
        <w:fldChar w:fldCharType="begin"/>
      </w:r>
      <w:r>
        <w:rPr>
          <w:highlight w:val="none"/>
        </w:rPr>
        <w:instrText xml:space="preserve"> PAGEREF _Toc23946968 \h </w:instrText>
      </w:r>
      <w:r>
        <w:rPr>
          <w:highlight w:val="none"/>
        </w:rPr>
        <w:fldChar w:fldCharType="separate"/>
      </w:r>
      <w:r>
        <w:rPr>
          <w:rFonts w:hint="default"/>
          <w:b w:val="0"/>
          <w:highlight w:val="none"/>
          <w:lang w:val="en-US" w:eastAsia="zh-CN"/>
        </w:rPr>
        <w:t>13</w:t>
      </w:r>
      <w:r>
        <w:rPr>
          <w:highlight w:val="none"/>
        </w:rPr>
        <w:fldChar w:fldCharType="end"/>
      </w:r>
      <w:r>
        <w:rPr>
          <w:highlight w:val="none"/>
        </w:rPr>
        <w:fldChar w:fldCharType="end"/>
      </w:r>
    </w:p>
    <w:p w14:paraId="59BF7F14">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"_Toc23946969" </w:instrText>
      </w:r>
      <w:r>
        <w:rPr>
          <w:highlight w:val="none"/>
        </w:rPr>
        <w:fldChar w:fldCharType="separate"/>
      </w:r>
      <w:r>
        <w:rPr>
          <w:rStyle w:val="36"/>
          <w:rFonts w:hint="eastAsia"/>
          <w:highlight w:val="none"/>
        </w:rPr>
        <w:t>六、股票期权结算路径与交易权限开通</w:t>
      </w:r>
      <w:r>
        <w:rPr>
          <w:highlight w:val="none"/>
        </w:rPr>
        <w:tab/>
      </w:r>
      <w:r>
        <w:rPr>
          <w:highlight w:val="none"/>
        </w:rPr>
        <w:fldChar w:fldCharType="begin"/>
      </w:r>
      <w:r>
        <w:rPr>
          <w:highlight w:val="none"/>
        </w:rPr>
        <w:instrText xml:space="preserve"> PAGEREF _Toc23946969 \h </w:instrText>
      </w:r>
      <w:r>
        <w:rPr>
          <w:highlight w:val="none"/>
        </w:rPr>
        <w:fldChar w:fldCharType="separate"/>
      </w:r>
      <w:r>
        <w:rPr>
          <w:highlight w:val="none"/>
        </w:rPr>
        <w:t>13</w:t>
      </w:r>
      <w:r>
        <w:rPr>
          <w:highlight w:val="none"/>
        </w:rPr>
        <w:fldChar w:fldCharType="end"/>
      </w:r>
      <w:r>
        <w:rPr>
          <w:highlight w:val="none"/>
        </w:rPr>
        <w:fldChar w:fldCharType="end"/>
      </w:r>
    </w:p>
    <w:p w14:paraId="0F5DFF1F">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"_Toc23946970" </w:instrText>
      </w:r>
      <w:r>
        <w:rPr>
          <w:highlight w:val="none"/>
        </w:rPr>
        <w:fldChar w:fldCharType="separate"/>
      </w:r>
      <w:r>
        <w:rPr>
          <w:rStyle w:val="36"/>
          <w:rFonts w:hint="eastAsia"/>
          <w:highlight w:val="none"/>
        </w:rPr>
        <w:t>七、开通一网通办会员机构门户（交易参与人业务）使用权限</w:t>
      </w:r>
      <w:r>
        <w:rPr>
          <w:highlight w:val="none"/>
        </w:rPr>
        <w:tab/>
      </w:r>
      <w:r>
        <w:rPr>
          <w:highlight w:val="none"/>
        </w:rPr>
        <w:fldChar w:fldCharType="begin"/>
      </w:r>
      <w:r>
        <w:rPr>
          <w:highlight w:val="none"/>
        </w:rPr>
        <w:instrText xml:space="preserve"> PAGEREF _Toc23946970 \h </w:instrText>
      </w:r>
      <w:r>
        <w:rPr>
          <w:highlight w:val="none"/>
        </w:rPr>
        <w:fldChar w:fldCharType="separate"/>
      </w:r>
      <w:r>
        <w:rPr>
          <w:highlight w:val="none"/>
        </w:rPr>
        <w:t>1</w:t>
      </w:r>
      <w:r>
        <w:rPr>
          <w:rFonts w:hint="eastAsia"/>
          <w:highlight w:val="none"/>
          <w:lang w:val="en-US" w:eastAsia="zh-CN"/>
        </w:rPr>
        <w:t>4</w:t>
      </w:r>
      <w:r>
        <w:rPr>
          <w:highlight w:val="none"/>
        </w:rPr>
        <w:fldChar w:fldCharType="end"/>
      </w:r>
      <w:r>
        <w:rPr>
          <w:highlight w:val="none"/>
        </w:rPr>
        <w:fldChar w:fldCharType="end"/>
      </w:r>
    </w:p>
    <w:p w14:paraId="20E68ADD">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"_Toc23946972" </w:instrText>
      </w:r>
      <w:r>
        <w:rPr>
          <w:highlight w:val="none"/>
        </w:rPr>
        <w:fldChar w:fldCharType="separate"/>
      </w:r>
      <w:r>
        <w:rPr>
          <w:rStyle w:val="36"/>
          <w:rFonts w:hint="eastAsia" w:ascii="黑体" w:hAnsi="黑体" w:eastAsia="黑体"/>
          <w:highlight w:val="none"/>
        </w:rPr>
        <w:t>第三章</w:t>
      </w:r>
      <w:r>
        <w:rPr>
          <w:rStyle w:val="36"/>
          <w:rFonts w:ascii="黑体" w:hAnsi="黑体" w:eastAsia="黑体"/>
          <w:highlight w:val="none"/>
        </w:rPr>
        <w:t xml:space="preserve"> </w:t>
      </w:r>
      <w:r>
        <w:rPr>
          <w:rStyle w:val="36"/>
          <w:rFonts w:hint="eastAsia" w:ascii="黑体" w:hAnsi="黑体" w:eastAsia="黑体"/>
          <w:highlight w:val="none"/>
        </w:rPr>
        <w:t>投资者适当性管理</w:t>
      </w:r>
      <w:r>
        <w:rPr>
          <w:highlight w:val="none"/>
        </w:rPr>
        <w:tab/>
      </w:r>
      <w:r>
        <w:rPr>
          <w:highlight w:val="none"/>
        </w:rPr>
        <w:fldChar w:fldCharType="begin"/>
      </w:r>
      <w:r>
        <w:rPr>
          <w:highlight w:val="none"/>
        </w:rPr>
        <w:instrText xml:space="preserve"> PAGEREF _Toc23946972 \h </w:instrText>
      </w:r>
      <w:r>
        <w:rPr>
          <w:highlight w:val="none"/>
        </w:rPr>
        <w:fldChar w:fldCharType="separate"/>
      </w:r>
      <w:r>
        <w:rPr>
          <w:highlight w:val="none"/>
        </w:rPr>
        <w:t>16</w:t>
      </w:r>
      <w:r>
        <w:rPr>
          <w:highlight w:val="none"/>
        </w:rPr>
        <w:fldChar w:fldCharType="end"/>
      </w:r>
      <w:r>
        <w:rPr>
          <w:highlight w:val="none"/>
        </w:rPr>
        <w:fldChar w:fldCharType="end"/>
      </w:r>
    </w:p>
    <w:p w14:paraId="65775D2A">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"_Toc23946973" </w:instrText>
      </w:r>
      <w:r>
        <w:rPr>
          <w:highlight w:val="none"/>
        </w:rPr>
        <w:fldChar w:fldCharType="separate"/>
      </w:r>
      <w:r>
        <w:rPr>
          <w:rStyle w:val="36"/>
          <w:rFonts w:hint="eastAsia"/>
          <w:highlight w:val="none"/>
        </w:rPr>
        <w:t>一、投资者准入条件的认定</w:t>
      </w:r>
      <w:r>
        <w:rPr>
          <w:highlight w:val="none"/>
        </w:rPr>
        <w:tab/>
      </w:r>
      <w:r>
        <w:rPr>
          <w:highlight w:val="none"/>
        </w:rPr>
        <w:fldChar w:fldCharType="begin"/>
      </w:r>
      <w:r>
        <w:rPr>
          <w:highlight w:val="none"/>
        </w:rPr>
        <w:instrText xml:space="preserve"> PAGEREF _Toc23946973 \h </w:instrText>
      </w:r>
      <w:r>
        <w:rPr>
          <w:highlight w:val="none"/>
        </w:rPr>
        <w:fldChar w:fldCharType="separate"/>
      </w:r>
      <w:r>
        <w:rPr>
          <w:highlight w:val="none"/>
        </w:rPr>
        <w:t>16</w:t>
      </w:r>
      <w:r>
        <w:rPr>
          <w:highlight w:val="none"/>
        </w:rPr>
        <w:fldChar w:fldCharType="end"/>
      </w:r>
      <w:r>
        <w:rPr>
          <w:highlight w:val="none"/>
        </w:rPr>
        <w:fldChar w:fldCharType="end"/>
      </w:r>
    </w:p>
    <w:p w14:paraId="3673A985">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"_Toc23946974" </w:instrText>
      </w:r>
      <w:r>
        <w:rPr>
          <w:highlight w:val="none"/>
        </w:rPr>
        <w:fldChar w:fldCharType="separate"/>
      </w:r>
      <w:r>
        <w:rPr>
          <w:rStyle w:val="36"/>
          <w:rFonts w:hint="eastAsia"/>
          <w:highlight w:val="none"/>
        </w:rPr>
        <w:t>二、综合评估</w:t>
      </w:r>
      <w:r>
        <w:rPr>
          <w:highlight w:val="none"/>
        </w:rPr>
        <w:tab/>
      </w:r>
      <w:r>
        <w:rPr>
          <w:highlight w:val="none"/>
        </w:rPr>
        <w:fldChar w:fldCharType="begin"/>
      </w:r>
      <w:r>
        <w:rPr>
          <w:highlight w:val="none"/>
        </w:rPr>
        <w:instrText xml:space="preserve"> PAGEREF _Toc23946974 \h </w:instrText>
      </w:r>
      <w:r>
        <w:rPr>
          <w:highlight w:val="none"/>
        </w:rPr>
        <w:fldChar w:fldCharType="separate"/>
      </w:r>
      <w:r>
        <w:rPr>
          <w:highlight w:val="none"/>
        </w:rPr>
        <w:t>20</w:t>
      </w:r>
      <w:r>
        <w:rPr>
          <w:highlight w:val="none"/>
        </w:rPr>
        <w:fldChar w:fldCharType="end"/>
      </w:r>
      <w:r>
        <w:rPr>
          <w:highlight w:val="none"/>
        </w:rPr>
        <w:fldChar w:fldCharType="end"/>
      </w:r>
    </w:p>
    <w:p w14:paraId="0303B979">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"_Toc23946975" </w:instrText>
      </w:r>
      <w:r>
        <w:rPr>
          <w:highlight w:val="none"/>
        </w:rPr>
        <w:fldChar w:fldCharType="separate"/>
      </w:r>
      <w:r>
        <w:rPr>
          <w:rStyle w:val="36"/>
          <w:rFonts w:hint="eastAsia"/>
          <w:highlight w:val="none"/>
        </w:rPr>
        <w:t>三、股票期权投资者知识测试</w:t>
      </w:r>
      <w:r>
        <w:rPr>
          <w:highlight w:val="none"/>
        </w:rPr>
        <w:tab/>
      </w:r>
      <w:r>
        <w:rPr>
          <w:highlight w:val="none"/>
        </w:rPr>
        <w:fldChar w:fldCharType="begin"/>
      </w:r>
      <w:r>
        <w:rPr>
          <w:highlight w:val="none"/>
        </w:rPr>
        <w:instrText xml:space="preserve"> PAGEREF _Toc23946975 \h </w:instrText>
      </w:r>
      <w:r>
        <w:rPr>
          <w:highlight w:val="none"/>
        </w:rPr>
        <w:fldChar w:fldCharType="separate"/>
      </w:r>
      <w:r>
        <w:rPr>
          <w:highlight w:val="none"/>
        </w:rPr>
        <w:t>21</w:t>
      </w:r>
      <w:r>
        <w:rPr>
          <w:highlight w:val="none"/>
        </w:rPr>
        <w:fldChar w:fldCharType="end"/>
      </w:r>
      <w:r>
        <w:rPr>
          <w:highlight w:val="none"/>
        </w:rPr>
        <w:fldChar w:fldCharType="end"/>
      </w:r>
    </w:p>
    <w:p w14:paraId="0177F7EF">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"_Toc23946976" </w:instrText>
      </w:r>
      <w:r>
        <w:rPr>
          <w:highlight w:val="none"/>
        </w:rPr>
        <w:fldChar w:fldCharType="separate"/>
      </w:r>
      <w:r>
        <w:rPr>
          <w:rStyle w:val="36"/>
          <w:rFonts w:hint="eastAsia"/>
          <w:highlight w:val="none"/>
        </w:rPr>
        <w:t>四、投资者分级管理</w:t>
      </w:r>
      <w:r>
        <w:rPr>
          <w:highlight w:val="none"/>
        </w:rPr>
        <w:tab/>
      </w:r>
      <w:r>
        <w:rPr>
          <w:highlight w:val="none"/>
        </w:rPr>
        <w:fldChar w:fldCharType="begin"/>
      </w:r>
      <w:r>
        <w:rPr>
          <w:highlight w:val="none"/>
        </w:rPr>
        <w:instrText xml:space="preserve"> PAGEREF _Toc23946976 \h </w:instrText>
      </w:r>
      <w:r>
        <w:rPr>
          <w:highlight w:val="none"/>
        </w:rPr>
        <w:fldChar w:fldCharType="separate"/>
      </w:r>
      <w:r>
        <w:rPr>
          <w:highlight w:val="none"/>
        </w:rPr>
        <w:t>24</w:t>
      </w:r>
      <w:r>
        <w:rPr>
          <w:highlight w:val="none"/>
        </w:rPr>
        <w:fldChar w:fldCharType="end"/>
      </w:r>
      <w:r>
        <w:rPr>
          <w:highlight w:val="none"/>
        </w:rPr>
        <w:fldChar w:fldCharType="end"/>
      </w:r>
    </w:p>
    <w:p w14:paraId="50E265EC">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"_Toc23946977" </w:instrText>
      </w:r>
      <w:r>
        <w:rPr>
          <w:highlight w:val="none"/>
        </w:rPr>
        <w:fldChar w:fldCharType="separate"/>
      </w:r>
      <w:r>
        <w:rPr>
          <w:rStyle w:val="36"/>
          <w:rFonts w:hint="eastAsia"/>
          <w:highlight w:val="none"/>
        </w:rPr>
        <w:t>五、投资者适当性评估的动态持续管理</w:t>
      </w:r>
      <w:r>
        <w:rPr>
          <w:highlight w:val="none"/>
        </w:rPr>
        <w:tab/>
      </w:r>
      <w:r>
        <w:rPr>
          <w:highlight w:val="none"/>
        </w:rPr>
        <w:fldChar w:fldCharType="begin"/>
      </w:r>
      <w:r>
        <w:rPr>
          <w:highlight w:val="none"/>
        </w:rPr>
        <w:instrText xml:space="preserve"> PAGEREF _Toc23946977 \h </w:instrText>
      </w:r>
      <w:r>
        <w:rPr>
          <w:highlight w:val="none"/>
        </w:rPr>
        <w:fldChar w:fldCharType="separate"/>
      </w:r>
      <w:r>
        <w:rPr>
          <w:highlight w:val="none"/>
        </w:rPr>
        <w:t>24</w:t>
      </w:r>
      <w:r>
        <w:rPr>
          <w:highlight w:val="none"/>
        </w:rPr>
        <w:fldChar w:fldCharType="end"/>
      </w:r>
      <w:r>
        <w:rPr>
          <w:highlight w:val="none"/>
        </w:rPr>
        <w:fldChar w:fldCharType="end"/>
      </w:r>
    </w:p>
    <w:p w14:paraId="6318AB9D">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"_Toc23946978" </w:instrText>
      </w:r>
      <w:r>
        <w:rPr>
          <w:highlight w:val="none"/>
        </w:rPr>
        <w:fldChar w:fldCharType="separate"/>
      </w:r>
      <w:r>
        <w:rPr>
          <w:rStyle w:val="36"/>
          <w:rFonts w:hint="eastAsia"/>
          <w:highlight w:val="none"/>
        </w:rPr>
        <w:t>六、客户档案资料管理</w:t>
      </w:r>
      <w:r>
        <w:rPr>
          <w:highlight w:val="none"/>
        </w:rPr>
        <w:tab/>
      </w:r>
      <w:r>
        <w:rPr>
          <w:highlight w:val="none"/>
        </w:rPr>
        <w:fldChar w:fldCharType="begin"/>
      </w:r>
      <w:r>
        <w:rPr>
          <w:highlight w:val="none"/>
        </w:rPr>
        <w:instrText xml:space="preserve"> PAGEREF _Toc23946978 \h </w:instrText>
      </w:r>
      <w:r>
        <w:rPr>
          <w:highlight w:val="none"/>
        </w:rPr>
        <w:fldChar w:fldCharType="separate"/>
      </w:r>
      <w:r>
        <w:rPr>
          <w:highlight w:val="none"/>
        </w:rPr>
        <w:t>26</w:t>
      </w:r>
      <w:r>
        <w:rPr>
          <w:highlight w:val="none"/>
        </w:rPr>
        <w:fldChar w:fldCharType="end"/>
      </w:r>
      <w:r>
        <w:rPr>
          <w:highlight w:val="none"/>
        </w:rPr>
        <w:fldChar w:fldCharType="end"/>
      </w:r>
    </w:p>
    <w:p w14:paraId="74B4CB24">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"_Toc23946979" </w:instrText>
      </w:r>
      <w:r>
        <w:rPr>
          <w:highlight w:val="none"/>
        </w:rPr>
        <w:fldChar w:fldCharType="separate"/>
      </w:r>
      <w:r>
        <w:rPr>
          <w:rStyle w:val="36"/>
          <w:rFonts w:hint="eastAsia"/>
          <w:highlight w:val="none"/>
        </w:rPr>
        <w:t>七、本所持续监督管理</w:t>
      </w:r>
      <w:r>
        <w:rPr>
          <w:highlight w:val="none"/>
        </w:rPr>
        <w:tab/>
      </w:r>
      <w:r>
        <w:rPr>
          <w:highlight w:val="none"/>
        </w:rPr>
        <w:fldChar w:fldCharType="begin"/>
      </w:r>
      <w:r>
        <w:rPr>
          <w:highlight w:val="none"/>
        </w:rPr>
        <w:instrText xml:space="preserve"> PAGEREF _Toc23946979 \h </w:instrText>
      </w:r>
      <w:r>
        <w:rPr>
          <w:highlight w:val="none"/>
        </w:rPr>
        <w:fldChar w:fldCharType="separate"/>
      </w:r>
      <w:r>
        <w:rPr>
          <w:highlight w:val="none"/>
        </w:rPr>
        <w:t>26</w:t>
      </w:r>
      <w:r>
        <w:rPr>
          <w:highlight w:val="none"/>
        </w:rPr>
        <w:fldChar w:fldCharType="end"/>
      </w:r>
      <w:r>
        <w:rPr>
          <w:highlight w:val="none"/>
        </w:rPr>
        <w:fldChar w:fldCharType="end"/>
      </w:r>
    </w:p>
    <w:p w14:paraId="19BA8814">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"_Toc23946980" </w:instrText>
      </w:r>
      <w:r>
        <w:rPr>
          <w:highlight w:val="none"/>
        </w:rPr>
        <w:fldChar w:fldCharType="separate"/>
      </w:r>
      <w:r>
        <w:rPr>
          <w:rStyle w:val="36"/>
          <w:rFonts w:hint="eastAsia" w:ascii="黑体" w:hAnsi="黑体" w:eastAsia="黑体"/>
          <w:highlight w:val="none"/>
        </w:rPr>
        <w:t>第四章</w:t>
      </w:r>
      <w:r>
        <w:rPr>
          <w:rStyle w:val="36"/>
          <w:rFonts w:ascii="黑体" w:hAnsi="黑体" w:eastAsia="黑体"/>
          <w:highlight w:val="none"/>
        </w:rPr>
        <w:t xml:space="preserve"> </w:t>
      </w:r>
      <w:r>
        <w:rPr>
          <w:rStyle w:val="36"/>
          <w:rFonts w:hint="eastAsia" w:ascii="黑体" w:hAnsi="黑体" w:eastAsia="黑体"/>
          <w:highlight w:val="none"/>
        </w:rPr>
        <w:t>开户管理</w:t>
      </w:r>
      <w:r>
        <w:rPr>
          <w:highlight w:val="none"/>
        </w:rPr>
        <w:tab/>
      </w:r>
      <w:r>
        <w:rPr>
          <w:highlight w:val="none"/>
        </w:rPr>
        <w:fldChar w:fldCharType="begin"/>
      </w:r>
      <w:r>
        <w:rPr>
          <w:highlight w:val="none"/>
        </w:rPr>
        <w:instrText xml:space="preserve"> PAGEREF _Toc23946980 \h </w:instrText>
      </w:r>
      <w:r>
        <w:rPr>
          <w:highlight w:val="none"/>
        </w:rPr>
        <w:fldChar w:fldCharType="separate"/>
      </w:r>
      <w:r>
        <w:rPr>
          <w:highlight w:val="none"/>
        </w:rPr>
        <w:t>27</w:t>
      </w:r>
      <w:r>
        <w:rPr>
          <w:highlight w:val="none"/>
        </w:rPr>
        <w:fldChar w:fldCharType="end"/>
      </w:r>
      <w:r>
        <w:rPr>
          <w:highlight w:val="none"/>
        </w:rPr>
        <w:fldChar w:fldCharType="end"/>
      </w:r>
    </w:p>
    <w:p w14:paraId="333D2350">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"_Toc23946981" </w:instrText>
      </w:r>
      <w:r>
        <w:rPr>
          <w:highlight w:val="none"/>
        </w:rPr>
        <w:fldChar w:fldCharType="separate"/>
      </w:r>
      <w:r>
        <w:rPr>
          <w:rStyle w:val="36"/>
          <w:rFonts w:hint="eastAsia"/>
          <w:highlight w:val="none"/>
        </w:rPr>
        <w:t>一、账户体系</w:t>
      </w:r>
      <w:r>
        <w:rPr>
          <w:highlight w:val="none"/>
        </w:rPr>
        <w:tab/>
      </w:r>
      <w:r>
        <w:rPr>
          <w:highlight w:val="none"/>
        </w:rPr>
        <w:fldChar w:fldCharType="begin"/>
      </w:r>
      <w:r>
        <w:rPr>
          <w:highlight w:val="none"/>
        </w:rPr>
        <w:instrText xml:space="preserve"> PAGEREF _Toc23946981 \h </w:instrText>
      </w:r>
      <w:r>
        <w:rPr>
          <w:highlight w:val="none"/>
        </w:rPr>
        <w:fldChar w:fldCharType="separate"/>
      </w:r>
      <w:r>
        <w:rPr>
          <w:highlight w:val="none"/>
        </w:rPr>
        <w:t>27</w:t>
      </w:r>
      <w:r>
        <w:rPr>
          <w:highlight w:val="none"/>
        </w:rPr>
        <w:fldChar w:fldCharType="end"/>
      </w:r>
      <w:r>
        <w:rPr>
          <w:highlight w:val="none"/>
        </w:rPr>
        <w:fldChar w:fldCharType="end"/>
      </w:r>
    </w:p>
    <w:p w14:paraId="14B5F16B">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"_Toc23946982" </w:instrText>
      </w:r>
      <w:r>
        <w:rPr>
          <w:highlight w:val="none"/>
        </w:rPr>
        <w:fldChar w:fldCharType="separate"/>
      </w:r>
      <w:r>
        <w:rPr>
          <w:rStyle w:val="36"/>
          <w:rFonts w:hint="eastAsia"/>
          <w:highlight w:val="none"/>
        </w:rPr>
        <w:t>二、衍生品合约账户的开立与管理</w:t>
      </w:r>
      <w:r>
        <w:rPr>
          <w:highlight w:val="none"/>
        </w:rPr>
        <w:tab/>
      </w:r>
      <w:r>
        <w:rPr>
          <w:highlight w:val="none"/>
        </w:rPr>
        <w:fldChar w:fldCharType="begin"/>
      </w:r>
      <w:r>
        <w:rPr>
          <w:highlight w:val="none"/>
        </w:rPr>
        <w:instrText xml:space="preserve"> PAGEREF _Toc23946982 \h </w:instrText>
      </w:r>
      <w:r>
        <w:rPr>
          <w:highlight w:val="none"/>
        </w:rPr>
        <w:fldChar w:fldCharType="separate"/>
      </w:r>
      <w:r>
        <w:rPr>
          <w:highlight w:val="none"/>
        </w:rPr>
        <w:t>29</w:t>
      </w:r>
      <w:r>
        <w:rPr>
          <w:highlight w:val="none"/>
        </w:rPr>
        <w:fldChar w:fldCharType="end"/>
      </w:r>
      <w:r>
        <w:rPr>
          <w:highlight w:val="none"/>
        </w:rPr>
        <w:fldChar w:fldCharType="end"/>
      </w:r>
    </w:p>
    <w:p w14:paraId="007C661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"_Toc23946983" </w:instrText>
      </w:r>
      <w:r>
        <w:rPr>
          <w:highlight w:val="none"/>
        </w:rPr>
        <w:fldChar w:fldCharType="separate"/>
      </w:r>
      <w:r>
        <w:rPr>
          <w:rStyle w:val="36"/>
          <w:rFonts w:hint="eastAsia" w:ascii="黑体" w:hAnsi="黑体" w:eastAsia="黑体"/>
          <w:highlight w:val="none"/>
        </w:rPr>
        <w:t>第五章</w:t>
      </w:r>
      <w:r>
        <w:rPr>
          <w:rStyle w:val="36"/>
          <w:rFonts w:ascii="黑体" w:hAnsi="黑体" w:eastAsia="黑体"/>
          <w:highlight w:val="none"/>
        </w:rPr>
        <w:t xml:space="preserve"> </w:t>
      </w:r>
      <w:r>
        <w:rPr>
          <w:rStyle w:val="36"/>
          <w:rFonts w:hint="eastAsia" w:ascii="黑体" w:hAnsi="黑体" w:eastAsia="黑体"/>
          <w:highlight w:val="none"/>
        </w:rPr>
        <w:t>持仓额度管理</w:t>
      </w:r>
      <w:r>
        <w:rPr>
          <w:highlight w:val="none"/>
        </w:rPr>
        <w:tab/>
      </w:r>
      <w:r>
        <w:rPr>
          <w:highlight w:val="none"/>
        </w:rPr>
        <w:fldChar w:fldCharType="begin"/>
      </w:r>
      <w:r>
        <w:rPr>
          <w:highlight w:val="none"/>
        </w:rPr>
        <w:instrText xml:space="preserve"> PAGEREF _Toc23946983 \h </w:instrText>
      </w:r>
      <w:r>
        <w:rPr>
          <w:highlight w:val="none"/>
        </w:rPr>
        <w:fldChar w:fldCharType="separate"/>
      </w:r>
      <w:r>
        <w:rPr>
          <w:highlight w:val="none"/>
        </w:rPr>
        <w:t>36</w:t>
      </w:r>
      <w:r>
        <w:rPr>
          <w:highlight w:val="none"/>
        </w:rPr>
        <w:fldChar w:fldCharType="end"/>
      </w:r>
      <w:r>
        <w:rPr>
          <w:highlight w:val="none"/>
        </w:rPr>
        <w:fldChar w:fldCharType="end"/>
      </w:r>
    </w:p>
    <w:p w14:paraId="6D98219C">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"_Toc23946984" </w:instrText>
      </w:r>
      <w:r>
        <w:rPr>
          <w:highlight w:val="none"/>
        </w:rPr>
        <w:fldChar w:fldCharType="separate"/>
      </w:r>
      <w:r>
        <w:rPr>
          <w:rStyle w:val="36"/>
          <w:rFonts w:hint="eastAsia"/>
          <w:highlight w:val="none"/>
        </w:rPr>
        <w:t>一、持仓限额前端控制</w:t>
      </w:r>
      <w:r>
        <w:rPr>
          <w:highlight w:val="none"/>
        </w:rPr>
        <w:tab/>
      </w:r>
      <w:r>
        <w:rPr>
          <w:highlight w:val="none"/>
        </w:rPr>
        <w:fldChar w:fldCharType="begin"/>
      </w:r>
      <w:r>
        <w:rPr>
          <w:highlight w:val="none"/>
        </w:rPr>
        <w:instrText xml:space="preserve"> PAGEREF _Toc23946984 \h </w:instrText>
      </w:r>
      <w:r>
        <w:rPr>
          <w:highlight w:val="none"/>
        </w:rPr>
        <w:fldChar w:fldCharType="separate"/>
      </w:r>
      <w:r>
        <w:rPr>
          <w:highlight w:val="none"/>
        </w:rPr>
        <w:t>36</w:t>
      </w:r>
      <w:r>
        <w:rPr>
          <w:highlight w:val="none"/>
        </w:rPr>
        <w:fldChar w:fldCharType="end"/>
      </w:r>
      <w:r>
        <w:rPr>
          <w:highlight w:val="none"/>
        </w:rPr>
        <w:fldChar w:fldCharType="end"/>
      </w:r>
    </w:p>
    <w:p w14:paraId="28E986D9">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"_Toc23946985" </w:instrText>
      </w:r>
      <w:r>
        <w:rPr>
          <w:highlight w:val="none"/>
        </w:rPr>
        <w:fldChar w:fldCharType="separate"/>
      </w:r>
      <w:r>
        <w:rPr>
          <w:rStyle w:val="36"/>
          <w:rFonts w:hint="eastAsia"/>
          <w:highlight w:val="none"/>
        </w:rPr>
        <w:t>二、客户买入额度管理（限购）</w:t>
      </w:r>
      <w:r>
        <w:rPr>
          <w:highlight w:val="none"/>
        </w:rPr>
        <w:tab/>
      </w:r>
      <w:r>
        <w:rPr>
          <w:highlight w:val="none"/>
        </w:rPr>
        <w:fldChar w:fldCharType="begin"/>
      </w:r>
      <w:r>
        <w:rPr>
          <w:highlight w:val="none"/>
        </w:rPr>
        <w:instrText xml:space="preserve"> PAGEREF _Toc23946985 \h </w:instrText>
      </w:r>
      <w:r>
        <w:rPr>
          <w:highlight w:val="none"/>
        </w:rPr>
        <w:fldChar w:fldCharType="separate"/>
      </w:r>
      <w:r>
        <w:rPr>
          <w:highlight w:val="none"/>
        </w:rPr>
        <w:t>40</w:t>
      </w:r>
      <w:r>
        <w:rPr>
          <w:highlight w:val="none"/>
        </w:rPr>
        <w:fldChar w:fldCharType="end"/>
      </w:r>
      <w:r>
        <w:rPr>
          <w:highlight w:val="none"/>
        </w:rPr>
        <w:fldChar w:fldCharType="end"/>
      </w:r>
    </w:p>
    <w:p w14:paraId="0C2CDEA0">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"_Toc23946986" </w:instrText>
      </w:r>
      <w:r>
        <w:rPr>
          <w:highlight w:val="none"/>
        </w:rPr>
        <w:fldChar w:fldCharType="separate"/>
      </w:r>
      <w:r>
        <w:rPr>
          <w:rStyle w:val="36"/>
          <w:rFonts w:hint="eastAsia" w:ascii="黑体" w:hAnsi="黑体" w:eastAsia="黑体"/>
          <w:highlight w:val="none"/>
        </w:rPr>
        <w:t>第六章</w:t>
      </w:r>
      <w:r>
        <w:rPr>
          <w:rStyle w:val="36"/>
          <w:rFonts w:ascii="黑体" w:hAnsi="黑体" w:eastAsia="黑体"/>
          <w:highlight w:val="none"/>
        </w:rPr>
        <w:t xml:space="preserve"> </w:t>
      </w:r>
      <w:r>
        <w:rPr>
          <w:rStyle w:val="36"/>
          <w:rFonts w:hint="eastAsia" w:ascii="黑体" w:hAnsi="黑体" w:eastAsia="黑体"/>
          <w:highlight w:val="none"/>
        </w:rPr>
        <w:t>保证金管理</w:t>
      </w:r>
      <w:r>
        <w:rPr>
          <w:highlight w:val="none"/>
        </w:rPr>
        <w:tab/>
      </w:r>
      <w:r>
        <w:rPr>
          <w:highlight w:val="none"/>
        </w:rPr>
        <w:fldChar w:fldCharType="begin"/>
      </w:r>
      <w:r>
        <w:rPr>
          <w:highlight w:val="none"/>
        </w:rPr>
        <w:instrText xml:space="preserve"> PAGEREF _Toc23946986 \h </w:instrText>
      </w:r>
      <w:r>
        <w:rPr>
          <w:highlight w:val="none"/>
        </w:rPr>
        <w:fldChar w:fldCharType="separate"/>
      </w:r>
      <w:r>
        <w:rPr>
          <w:highlight w:val="none"/>
        </w:rPr>
        <w:t>43</w:t>
      </w:r>
      <w:r>
        <w:rPr>
          <w:highlight w:val="none"/>
        </w:rPr>
        <w:fldChar w:fldCharType="end"/>
      </w:r>
      <w:r>
        <w:rPr>
          <w:highlight w:val="none"/>
        </w:rPr>
        <w:fldChar w:fldCharType="end"/>
      </w:r>
    </w:p>
    <w:p w14:paraId="50FA10EF">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"_Toc23946987" </w:instrText>
      </w:r>
      <w:r>
        <w:rPr>
          <w:highlight w:val="none"/>
        </w:rPr>
        <w:fldChar w:fldCharType="separate"/>
      </w:r>
      <w:r>
        <w:rPr>
          <w:rStyle w:val="36"/>
          <w:rFonts w:hint="eastAsia"/>
          <w:highlight w:val="none"/>
        </w:rPr>
        <w:t>一、客户保证金管理</w:t>
      </w:r>
      <w:r>
        <w:rPr>
          <w:highlight w:val="none"/>
        </w:rPr>
        <w:tab/>
      </w:r>
      <w:r>
        <w:rPr>
          <w:highlight w:val="none"/>
        </w:rPr>
        <w:fldChar w:fldCharType="begin"/>
      </w:r>
      <w:r>
        <w:rPr>
          <w:highlight w:val="none"/>
        </w:rPr>
        <w:instrText xml:space="preserve"> PAGEREF _Toc23946987 \h </w:instrText>
      </w:r>
      <w:r>
        <w:rPr>
          <w:highlight w:val="none"/>
        </w:rPr>
        <w:fldChar w:fldCharType="separate"/>
      </w:r>
      <w:r>
        <w:rPr>
          <w:highlight w:val="none"/>
        </w:rPr>
        <w:t>43</w:t>
      </w:r>
      <w:r>
        <w:rPr>
          <w:highlight w:val="none"/>
        </w:rPr>
        <w:fldChar w:fldCharType="end"/>
      </w:r>
      <w:r>
        <w:rPr>
          <w:highlight w:val="none"/>
        </w:rPr>
        <w:fldChar w:fldCharType="end"/>
      </w:r>
    </w:p>
    <w:p w14:paraId="5609B095">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"_Toc23946988" </w:instrText>
      </w:r>
      <w:r>
        <w:rPr>
          <w:highlight w:val="none"/>
        </w:rPr>
        <w:fldChar w:fldCharType="separate"/>
      </w:r>
      <w:r>
        <w:rPr>
          <w:rStyle w:val="36"/>
          <w:rFonts w:hint="eastAsia"/>
          <w:highlight w:val="none"/>
        </w:rPr>
        <w:t>二、备兑开仓客户保证金管理</w:t>
      </w:r>
      <w:r>
        <w:rPr>
          <w:highlight w:val="none"/>
        </w:rPr>
        <w:tab/>
      </w:r>
      <w:r>
        <w:rPr>
          <w:highlight w:val="none"/>
        </w:rPr>
        <w:fldChar w:fldCharType="begin"/>
      </w:r>
      <w:r>
        <w:rPr>
          <w:highlight w:val="none"/>
        </w:rPr>
        <w:instrText xml:space="preserve"> PAGEREF _Toc23946988 \h </w:instrText>
      </w:r>
      <w:r>
        <w:rPr>
          <w:highlight w:val="none"/>
        </w:rPr>
        <w:fldChar w:fldCharType="separate"/>
      </w:r>
      <w:r>
        <w:rPr>
          <w:highlight w:val="none"/>
        </w:rPr>
        <w:t>55</w:t>
      </w:r>
      <w:r>
        <w:rPr>
          <w:highlight w:val="none"/>
        </w:rPr>
        <w:fldChar w:fldCharType="end"/>
      </w:r>
      <w:r>
        <w:rPr>
          <w:highlight w:val="none"/>
        </w:rPr>
        <w:fldChar w:fldCharType="end"/>
      </w:r>
    </w:p>
    <w:p w14:paraId="776D7C93">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"_Toc23946989" </w:instrText>
      </w:r>
      <w:r>
        <w:rPr>
          <w:highlight w:val="none"/>
        </w:rPr>
        <w:fldChar w:fldCharType="separate"/>
      </w:r>
      <w:r>
        <w:rPr>
          <w:rStyle w:val="36"/>
          <w:rFonts w:hint="eastAsia" w:ascii="黑体" w:hAnsi="黑体" w:eastAsia="黑体"/>
          <w:highlight w:val="none"/>
        </w:rPr>
        <w:t>第七章</w:t>
      </w:r>
      <w:r>
        <w:rPr>
          <w:rStyle w:val="36"/>
          <w:rFonts w:ascii="黑体" w:hAnsi="黑体" w:eastAsia="黑体"/>
          <w:highlight w:val="none"/>
        </w:rPr>
        <w:t xml:space="preserve"> </w:t>
      </w:r>
      <w:r>
        <w:rPr>
          <w:rStyle w:val="36"/>
          <w:rFonts w:hint="eastAsia" w:ascii="黑体" w:hAnsi="黑体" w:eastAsia="黑体"/>
          <w:highlight w:val="none"/>
        </w:rPr>
        <w:t>资金风险管理</w:t>
      </w:r>
      <w:r>
        <w:rPr>
          <w:highlight w:val="none"/>
        </w:rPr>
        <w:tab/>
      </w:r>
      <w:r>
        <w:rPr>
          <w:highlight w:val="none"/>
        </w:rPr>
        <w:fldChar w:fldCharType="begin"/>
      </w:r>
      <w:r>
        <w:rPr>
          <w:highlight w:val="none"/>
        </w:rPr>
        <w:instrText xml:space="preserve"> PAGEREF _Toc23946989 \h </w:instrText>
      </w:r>
      <w:r>
        <w:rPr>
          <w:highlight w:val="none"/>
        </w:rPr>
        <w:fldChar w:fldCharType="separate"/>
      </w:r>
      <w:r>
        <w:rPr>
          <w:highlight w:val="none"/>
        </w:rPr>
        <w:t>58</w:t>
      </w:r>
      <w:r>
        <w:rPr>
          <w:highlight w:val="none"/>
        </w:rPr>
        <w:fldChar w:fldCharType="end"/>
      </w:r>
      <w:r>
        <w:rPr>
          <w:highlight w:val="none"/>
        </w:rPr>
        <w:fldChar w:fldCharType="end"/>
      </w:r>
    </w:p>
    <w:p w14:paraId="67BC012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"_Toc23946990" </w:instrText>
      </w:r>
      <w:r>
        <w:rPr>
          <w:highlight w:val="none"/>
        </w:rPr>
        <w:fldChar w:fldCharType="separate"/>
      </w:r>
      <w:r>
        <w:rPr>
          <w:rStyle w:val="36"/>
          <w:rFonts w:hint="eastAsia"/>
          <w:highlight w:val="none"/>
        </w:rPr>
        <w:t>一、资金盯市管理</w:t>
      </w:r>
      <w:r>
        <w:rPr>
          <w:highlight w:val="none"/>
        </w:rPr>
        <w:tab/>
      </w:r>
      <w:r>
        <w:rPr>
          <w:highlight w:val="none"/>
        </w:rPr>
        <w:fldChar w:fldCharType="begin"/>
      </w:r>
      <w:r>
        <w:rPr>
          <w:highlight w:val="none"/>
        </w:rPr>
        <w:instrText xml:space="preserve"> PAGEREF _Toc23946990 \h </w:instrText>
      </w:r>
      <w:r>
        <w:rPr>
          <w:highlight w:val="none"/>
        </w:rPr>
        <w:fldChar w:fldCharType="separate"/>
      </w:r>
      <w:r>
        <w:rPr>
          <w:highlight w:val="none"/>
        </w:rPr>
        <w:t>58</w:t>
      </w:r>
      <w:r>
        <w:rPr>
          <w:highlight w:val="none"/>
        </w:rPr>
        <w:fldChar w:fldCharType="end"/>
      </w:r>
      <w:r>
        <w:rPr>
          <w:highlight w:val="none"/>
        </w:rPr>
        <w:fldChar w:fldCharType="end"/>
      </w:r>
    </w:p>
    <w:p w14:paraId="67626F87">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"_Toc23946991" </w:instrText>
      </w:r>
      <w:r>
        <w:rPr>
          <w:highlight w:val="none"/>
        </w:rPr>
        <w:fldChar w:fldCharType="separate"/>
      </w:r>
      <w:r>
        <w:rPr>
          <w:rStyle w:val="36"/>
          <w:rFonts w:hint="eastAsia"/>
          <w:highlight w:val="none"/>
        </w:rPr>
        <w:t>二、资金划拨应急处理</w:t>
      </w:r>
      <w:r>
        <w:rPr>
          <w:highlight w:val="none"/>
        </w:rPr>
        <w:tab/>
      </w:r>
      <w:r>
        <w:rPr>
          <w:highlight w:val="none"/>
        </w:rPr>
        <w:fldChar w:fldCharType="begin"/>
      </w:r>
      <w:r>
        <w:rPr>
          <w:highlight w:val="none"/>
        </w:rPr>
        <w:instrText xml:space="preserve"> PAGEREF _Toc23946991 \h </w:instrText>
      </w:r>
      <w:r>
        <w:rPr>
          <w:highlight w:val="none"/>
        </w:rPr>
        <w:fldChar w:fldCharType="separate"/>
      </w:r>
      <w:r>
        <w:rPr>
          <w:highlight w:val="none"/>
        </w:rPr>
        <w:t>62</w:t>
      </w:r>
      <w:r>
        <w:rPr>
          <w:highlight w:val="none"/>
        </w:rPr>
        <w:fldChar w:fldCharType="end"/>
      </w:r>
      <w:r>
        <w:rPr>
          <w:highlight w:val="none"/>
        </w:rPr>
        <w:fldChar w:fldCharType="end"/>
      </w:r>
    </w:p>
    <w:p w14:paraId="02976FF7">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"_Toc23946992" </w:instrText>
      </w:r>
      <w:r>
        <w:rPr>
          <w:highlight w:val="none"/>
        </w:rPr>
        <w:fldChar w:fldCharType="separate"/>
      </w:r>
      <w:r>
        <w:rPr>
          <w:rStyle w:val="36"/>
          <w:rFonts w:hint="eastAsia" w:ascii="黑体" w:hAnsi="黑体" w:eastAsia="黑体"/>
          <w:highlight w:val="none"/>
        </w:rPr>
        <w:t>第八章</w:t>
      </w:r>
      <w:r>
        <w:rPr>
          <w:rStyle w:val="36"/>
          <w:rFonts w:ascii="黑体" w:hAnsi="黑体" w:eastAsia="黑体"/>
          <w:highlight w:val="none"/>
        </w:rPr>
        <w:t xml:space="preserve"> </w:t>
      </w:r>
      <w:r>
        <w:rPr>
          <w:rStyle w:val="36"/>
          <w:rFonts w:hint="eastAsia" w:ascii="黑体" w:hAnsi="黑体" w:eastAsia="黑体"/>
          <w:highlight w:val="none"/>
        </w:rPr>
        <w:t>强行平仓管理</w:t>
      </w:r>
      <w:r>
        <w:rPr>
          <w:highlight w:val="none"/>
        </w:rPr>
        <w:tab/>
      </w:r>
      <w:r>
        <w:rPr>
          <w:highlight w:val="none"/>
        </w:rPr>
        <w:fldChar w:fldCharType="begin"/>
      </w:r>
      <w:r>
        <w:rPr>
          <w:highlight w:val="none"/>
        </w:rPr>
        <w:instrText xml:space="preserve"> PAGEREF _Toc23946992 \h </w:instrText>
      </w:r>
      <w:r>
        <w:rPr>
          <w:highlight w:val="none"/>
        </w:rPr>
        <w:fldChar w:fldCharType="separate"/>
      </w:r>
      <w:r>
        <w:rPr>
          <w:highlight w:val="none"/>
        </w:rPr>
        <w:t>63</w:t>
      </w:r>
      <w:r>
        <w:rPr>
          <w:highlight w:val="none"/>
        </w:rPr>
        <w:fldChar w:fldCharType="end"/>
      </w:r>
      <w:r>
        <w:rPr>
          <w:highlight w:val="none"/>
        </w:rPr>
        <w:fldChar w:fldCharType="end"/>
      </w:r>
    </w:p>
    <w:p w14:paraId="76E717A9">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"_Toc23946993" </w:instrText>
      </w:r>
      <w:r>
        <w:rPr>
          <w:highlight w:val="none"/>
        </w:rPr>
        <w:fldChar w:fldCharType="separate"/>
      </w:r>
      <w:r>
        <w:rPr>
          <w:rStyle w:val="36"/>
          <w:rFonts w:hint="eastAsia"/>
          <w:highlight w:val="none"/>
        </w:rPr>
        <w:t>一、保证金不足强行平仓</w:t>
      </w:r>
      <w:r>
        <w:rPr>
          <w:highlight w:val="none"/>
        </w:rPr>
        <w:tab/>
      </w:r>
      <w:r>
        <w:rPr>
          <w:highlight w:val="none"/>
        </w:rPr>
        <w:fldChar w:fldCharType="begin"/>
      </w:r>
      <w:r>
        <w:rPr>
          <w:highlight w:val="none"/>
        </w:rPr>
        <w:instrText xml:space="preserve"> PAGEREF _Toc23946993 \h </w:instrText>
      </w:r>
      <w:r>
        <w:rPr>
          <w:highlight w:val="none"/>
        </w:rPr>
        <w:fldChar w:fldCharType="separate"/>
      </w:r>
      <w:r>
        <w:rPr>
          <w:highlight w:val="none"/>
        </w:rPr>
        <w:t>63</w:t>
      </w:r>
      <w:r>
        <w:rPr>
          <w:highlight w:val="none"/>
        </w:rPr>
        <w:fldChar w:fldCharType="end"/>
      </w:r>
      <w:r>
        <w:rPr>
          <w:highlight w:val="none"/>
        </w:rPr>
        <w:fldChar w:fldCharType="end"/>
      </w:r>
    </w:p>
    <w:p w14:paraId="78DBA122">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"_Toc23946994" </w:instrText>
      </w:r>
      <w:r>
        <w:rPr>
          <w:highlight w:val="none"/>
        </w:rPr>
        <w:fldChar w:fldCharType="separate"/>
      </w:r>
      <w:r>
        <w:rPr>
          <w:rStyle w:val="36"/>
          <w:rFonts w:hint="eastAsia"/>
          <w:highlight w:val="none"/>
        </w:rPr>
        <w:t>二、备兑不足强行平仓</w:t>
      </w:r>
      <w:r>
        <w:rPr>
          <w:highlight w:val="none"/>
        </w:rPr>
        <w:tab/>
      </w:r>
      <w:r>
        <w:rPr>
          <w:highlight w:val="none"/>
        </w:rPr>
        <w:fldChar w:fldCharType="begin"/>
      </w:r>
      <w:r>
        <w:rPr>
          <w:highlight w:val="none"/>
        </w:rPr>
        <w:instrText xml:space="preserve"> PAGEREF _Toc23946994 \h </w:instrText>
      </w:r>
      <w:r>
        <w:rPr>
          <w:highlight w:val="none"/>
        </w:rPr>
        <w:fldChar w:fldCharType="separate"/>
      </w:r>
      <w:r>
        <w:rPr>
          <w:highlight w:val="none"/>
        </w:rPr>
        <w:t>66</w:t>
      </w:r>
      <w:r>
        <w:rPr>
          <w:highlight w:val="none"/>
        </w:rPr>
        <w:fldChar w:fldCharType="end"/>
      </w:r>
      <w:r>
        <w:rPr>
          <w:highlight w:val="none"/>
        </w:rPr>
        <w:fldChar w:fldCharType="end"/>
      </w:r>
    </w:p>
    <w:p w14:paraId="6E3F03CB">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"_Toc23946995" </w:instrText>
      </w:r>
      <w:r>
        <w:rPr>
          <w:highlight w:val="none"/>
        </w:rPr>
        <w:fldChar w:fldCharType="separate"/>
      </w:r>
      <w:r>
        <w:rPr>
          <w:rStyle w:val="36"/>
          <w:rFonts w:hint="eastAsia"/>
          <w:highlight w:val="none"/>
        </w:rPr>
        <w:t>三、持仓超限平仓</w:t>
      </w:r>
      <w:r>
        <w:rPr>
          <w:highlight w:val="none"/>
        </w:rPr>
        <w:tab/>
      </w:r>
      <w:r>
        <w:rPr>
          <w:highlight w:val="none"/>
        </w:rPr>
        <w:fldChar w:fldCharType="begin"/>
      </w:r>
      <w:r>
        <w:rPr>
          <w:highlight w:val="none"/>
        </w:rPr>
        <w:instrText xml:space="preserve"> PAGEREF _Toc23946995 \h </w:instrText>
      </w:r>
      <w:r>
        <w:rPr>
          <w:highlight w:val="none"/>
        </w:rPr>
        <w:fldChar w:fldCharType="separate"/>
      </w:r>
      <w:r>
        <w:rPr>
          <w:highlight w:val="none"/>
        </w:rPr>
        <w:t>69</w:t>
      </w:r>
      <w:r>
        <w:rPr>
          <w:highlight w:val="none"/>
        </w:rPr>
        <w:fldChar w:fldCharType="end"/>
      </w:r>
      <w:r>
        <w:rPr>
          <w:highlight w:val="none"/>
        </w:rPr>
        <w:fldChar w:fldCharType="end"/>
      </w:r>
    </w:p>
    <w:p w14:paraId="01D732B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"_Toc23946996" </w:instrText>
      </w:r>
      <w:r>
        <w:rPr>
          <w:highlight w:val="none"/>
        </w:rPr>
        <w:fldChar w:fldCharType="separate"/>
      </w:r>
      <w:r>
        <w:rPr>
          <w:rStyle w:val="36"/>
          <w:rFonts w:hint="eastAsia"/>
          <w:highlight w:val="none"/>
        </w:rPr>
        <w:t>四、强平成交回报</w:t>
      </w:r>
      <w:r>
        <w:rPr>
          <w:rStyle w:val="36"/>
          <w:highlight w:val="none"/>
        </w:rPr>
        <w:t>PBU</w:t>
      </w:r>
      <w:r>
        <w:rPr>
          <w:rStyle w:val="36"/>
          <w:rFonts w:hint="eastAsia"/>
          <w:highlight w:val="none"/>
        </w:rPr>
        <w:t>管理</w:t>
      </w:r>
      <w:r>
        <w:rPr>
          <w:highlight w:val="none"/>
        </w:rPr>
        <w:tab/>
      </w:r>
      <w:r>
        <w:rPr>
          <w:highlight w:val="none"/>
        </w:rPr>
        <w:fldChar w:fldCharType="begin"/>
      </w:r>
      <w:r>
        <w:rPr>
          <w:highlight w:val="none"/>
        </w:rPr>
        <w:instrText xml:space="preserve"> PAGEREF _Toc23946996 \h </w:instrText>
      </w:r>
      <w:r>
        <w:rPr>
          <w:highlight w:val="none"/>
        </w:rPr>
        <w:fldChar w:fldCharType="separate"/>
      </w:r>
      <w:r>
        <w:rPr>
          <w:highlight w:val="none"/>
        </w:rPr>
        <w:t>70</w:t>
      </w:r>
      <w:r>
        <w:rPr>
          <w:highlight w:val="none"/>
        </w:rPr>
        <w:fldChar w:fldCharType="end"/>
      </w:r>
      <w:r>
        <w:rPr>
          <w:highlight w:val="none"/>
        </w:rPr>
        <w:fldChar w:fldCharType="end"/>
      </w:r>
    </w:p>
    <w:p w14:paraId="2513C0D9">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"_Toc23946997" </w:instrText>
      </w:r>
      <w:r>
        <w:rPr>
          <w:highlight w:val="none"/>
        </w:rPr>
        <w:fldChar w:fldCharType="separate"/>
      </w:r>
      <w:r>
        <w:rPr>
          <w:rStyle w:val="36"/>
          <w:rFonts w:hint="eastAsia"/>
          <w:highlight w:val="none"/>
        </w:rPr>
        <w:t>五、强行平仓申报订单指令</w:t>
      </w:r>
      <w:r>
        <w:rPr>
          <w:highlight w:val="none"/>
        </w:rPr>
        <w:tab/>
      </w:r>
      <w:r>
        <w:rPr>
          <w:highlight w:val="none"/>
        </w:rPr>
        <w:fldChar w:fldCharType="begin"/>
      </w:r>
      <w:r>
        <w:rPr>
          <w:highlight w:val="none"/>
        </w:rPr>
        <w:instrText xml:space="preserve"> PAGEREF _Toc23946997 \h </w:instrText>
      </w:r>
      <w:r>
        <w:rPr>
          <w:highlight w:val="none"/>
        </w:rPr>
        <w:fldChar w:fldCharType="separate"/>
      </w:r>
      <w:r>
        <w:rPr>
          <w:highlight w:val="none"/>
        </w:rPr>
        <w:t>70</w:t>
      </w:r>
      <w:r>
        <w:rPr>
          <w:highlight w:val="none"/>
        </w:rPr>
        <w:fldChar w:fldCharType="end"/>
      </w:r>
      <w:r>
        <w:rPr>
          <w:highlight w:val="none"/>
        </w:rPr>
        <w:fldChar w:fldCharType="end"/>
      </w:r>
    </w:p>
    <w:p w14:paraId="38D8C74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"_Toc23946998" </w:instrText>
      </w:r>
      <w:r>
        <w:rPr>
          <w:highlight w:val="none"/>
        </w:rPr>
        <w:fldChar w:fldCharType="separate"/>
      </w:r>
      <w:r>
        <w:rPr>
          <w:rStyle w:val="36"/>
          <w:rFonts w:hint="eastAsia"/>
          <w:highlight w:val="none"/>
        </w:rPr>
        <w:t>六、平仓有关的应急处理</w:t>
      </w:r>
      <w:r>
        <w:rPr>
          <w:highlight w:val="none"/>
        </w:rPr>
        <w:tab/>
      </w:r>
      <w:r>
        <w:rPr>
          <w:highlight w:val="none"/>
        </w:rPr>
        <w:fldChar w:fldCharType="begin"/>
      </w:r>
      <w:r>
        <w:rPr>
          <w:highlight w:val="none"/>
        </w:rPr>
        <w:instrText xml:space="preserve"> PAGEREF _Toc23946998 \h </w:instrText>
      </w:r>
      <w:r>
        <w:rPr>
          <w:highlight w:val="none"/>
        </w:rPr>
        <w:fldChar w:fldCharType="separate"/>
      </w:r>
      <w:r>
        <w:rPr>
          <w:highlight w:val="none"/>
        </w:rPr>
        <w:t>70</w:t>
      </w:r>
      <w:r>
        <w:rPr>
          <w:highlight w:val="none"/>
        </w:rPr>
        <w:fldChar w:fldCharType="end"/>
      </w:r>
      <w:r>
        <w:rPr>
          <w:highlight w:val="none"/>
        </w:rPr>
        <w:fldChar w:fldCharType="end"/>
      </w:r>
    </w:p>
    <w:p w14:paraId="19AAC244">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"_Toc23946999" </w:instrText>
      </w:r>
      <w:r>
        <w:rPr>
          <w:highlight w:val="none"/>
        </w:rPr>
        <w:fldChar w:fldCharType="separate"/>
      </w:r>
      <w:r>
        <w:rPr>
          <w:rStyle w:val="36"/>
          <w:rFonts w:hint="eastAsia" w:ascii="黑体" w:hAnsi="黑体" w:eastAsia="黑体"/>
          <w:highlight w:val="none"/>
        </w:rPr>
        <w:t>第九章</w:t>
      </w:r>
      <w:r>
        <w:rPr>
          <w:rStyle w:val="36"/>
          <w:rFonts w:ascii="黑体" w:hAnsi="黑体" w:eastAsia="黑体"/>
          <w:highlight w:val="none"/>
        </w:rPr>
        <w:t xml:space="preserve"> </w:t>
      </w:r>
      <w:r>
        <w:rPr>
          <w:rStyle w:val="36"/>
          <w:rFonts w:hint="eastAsia" w:ascii="黑体" w:hAnsi="黑体" w:eastAsia="黑体"/>
          <w:highlight w:val="none"/>
        </w:rPr>
        <w:t>行权交收管理</w:t>
      </w:r>
      <w:r>
        <w:rPr>
          <w:highlight w:val="none"/>
        </w:rPr>
        <w:tab/>
      </w:r>
      <w:r>
        <w:rPr>
          <w:highlight w:val="none"/>
        </w:rPr>
        <w:fldChar w:fldCharType="begin"/>
      </w:r>
      <w:r>
        <w:rPr>
          <w:highlight w:val="none"/>
        </w:rPr>
        <w:instrText xml:space="preserve"> PAGEREF _Toc23946999 \h </w:instrText>
      </w:r>
      <w:r>
        <w:rPr>
          <w:highlight w:val="none"/>
        </w:rPr>
        <w:fldChar w:fldCharType="separate"/>
      </w:r>
      <w:r>
        <w:rPr>
          <w:highlight w:val="none"/>
        </w:rPr>
        <w:t>72</w:t>
      </w:r>
      <w:r>
        <w:rPr>
          <w:highlight w:val="none"/>
        </w:rPr>
        <w:fldChar w:fldCharType="end"/>
      </w:r>
      <w:r>
        <w:rPr>
          <w:highlight w:val="none"/>
        </w:rPr>
        <w:fldChar w:fldCharType="end"/>
      </w:r>
    </w:p>
    <w:p w14:paraId="04883B2B">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"_Toc23947000" </w:instrText>
      </w:r>
      <w:r>
        <w:rPr>
          <w:highlight w:val="none"/>
        </w:rPr>
        <w:fldChar w:fldCharType="separate"/>
      </w:r>
      <w:r>
        <w:rPr>
          <w:rStyle w:val="36"/>
          <w:rFonts w:hint="eastAsia"/>
          <w:highlight w:val="none"/>
        </w:rPr>
        <w:t>一、投资者持仓合约的行权提醒</w:t>
      </w:r>
      <w:r>
        <w:rPr>
          <w:highlight w:val="none"/>
        </w:rPr>
        <w:tab/>
      </w:r>
      <w:r>
        <w:rPr>
          <w:highlight w:val="none"/>
        </w:rPr>
        <w:fldChar w:fldCharType="begin"/>
      </w:r>
      <w:r>
        <w:rPr>
          <w:highlight w:val="none"/>
        </w:rPr>
        <w:instrText xml:space="preserve"> PAGEREF _Toc23947000 \h </w:instrText>
      </w:r>
      <w:r>
        <w:rPr>
          <w:highlight w:val="none"/>
        </w:rPr>
        <w:fldChar w:fldCharType="separate"/>
      </w:r>
      <w:r>
        <w:rPr>
          <w:highlight w:val="none"/>
        </w:rPr>
        <w:t>72</w:t>
      </w:r>
      <w:r>
        <w:rPr>
          <w:highlight w:val="none"/>
        </w:rPr>
        <w:fldChar w:fldCharType="end"/>
      </w:r>
      <w:r>
        <w:rPr>
          <w:highlight w:val="none"/>
        </w:rPr>
        <w:fldChar w:fldCharType="end"/>
      </w:r>
    </w:p>
    <w:p w14:paraId="60A7F8A2">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"_Toc23947001" </w:instrText>
      </w:r>
      <w:r>
        <w:rPr>
          <w:highlight w:val="none"/>
        </w:rPr>
        <w:fldChar w:fldCharType="separate"/>
      </w:r>
      <w:r>
        <w:rPr>
          <w:rStyle w:val="36"/>
          <w:rFonts w:hint="eastAsia"/>
          <w:highlight w:val="none"/>
        </w:rPr>
        <w:t>二、投资者行权及交收日风险管理</w:t>
      </w:r>
      <w:r>
        <w:rPr>
          <w:highlight w:val="none"/>
        </w:rPr>
        <w:tab/>
      </w:r>
      <w:r>
        <w:rPr>
          <w:highlight w:val="none"/>
        </w:rPr>
        <w:fldChar w:fldCharType="begin"/>
      </w:r>
      <w:r>
        <w:rPr>
          <w:highlight w:val="none"/>
        </w:rPr>
        <w:instrText xml:space="preserve"> PAGEREF _Toc23947001 \h </w:instrText>
      </w:r>
      <w:r>
        <w:rPr>
          <w:highlight w:val="none"/>
        </w:rPr>
        <w:fldChar w:fldCharType="separate"/>
      </w:r>
      <w:r>
        <w:rPr>
          <w:highlight w:val="none"/>
        </w:rPr>
        <w:t>72</w:t>
      </w:r>
      <w:r>
        <w:rPr>
          <w:highlight w:val="none"/>
        </w:rPr>
        <w:fldChar w:fldCharType="end"/>
      </w:r>
      <w:r>
        <w:rPr>
          <w:highlight w:val="none"/>
        </w:rPr>
        <w:fldChar w:fldCharType="end"/>
      </w:r>
    </w:p>
    <w:p w14:paraId="295ADFBF">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"_Toc23947002" </w:instrText>
      </w:r>
      <w:r>
        <w:rPr>
          <w:highlight w:val="none"/>
        </w:rPr>
        <w:fldChar w:fldCharType="separate"/>
      </w:r>
      <w:r>
        <w:rPr>
          <w:rStyle w:val="36"/>
          <w:rFonts w:hint="eastAsia"/>
          <w:highlight w:val="none"/>
        </w:rPr>
        <w:t>三、行权日前调整保证金参数水平提醒</w:t>
      </w:r>
      <w:r>
        <w:rPr>
          <w:highlight w:val="none"/>
        </w:rPr>
        <w:tab/>
      </w:r>
      <w:r>
        <w:rPr>
          <w:highlight w:val="none"/>
        </w:rPr>
        <w:fldChar w:fldCharType="begin"/>
      </w:r>
      <w:r>
        <w:rPr>
          <w:highlight w:val="none"/>
        </w:rPr>
        <w:instrText xml:space="preserve"> PAGEREF _Toc23947002 \h </w:instrText>
      </w:r>
      <w:r>
        <w:rPr>
          <w:highlight w:val="none"/>
        </w:rPr>
        <w:fldChar w:fldCharType="separate"/>
      </w:r>
      <w:r>
        <w:rPr>
          <w:highlight w:val="none"/>
        </w:rPr>
        <w:t>74</w:t>
      </w:r>
      <w:r>
        <w:rPr>
          <w:highlight w:val="none"/>
        </w:rPr>
        <w:fldChar w:fldCharType="end"/>
      </w:r>
      <w:r>
        <w:rPr>
          <w:highlight w:val="none"/>
        </w:rPr>
        <w:fldChar w:fldCharType="end"/>
      </w:r>
    </w:p>
    <w:p w14:paraId="27ECCEDF">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"_Toc23947003" </w:instrText>
      </w:r>
      <w:r>
        <w:rPr>
          <w:highlight w:val="none"/>
        </w:rPr>
        <w:fldChar w:fldCharType="separate"/>
      </w:r>
      <w:r>
        <w:rPr>
          <w:rStyle w:val="36"/>
          <w:rFonts w:hint="eastAsia"/>
          <w:highlight w:val="none"/>
        </w:rPr>
        <w:t>四、行权指令合并申报</w:t>
      </w:r>
      <w:r>
        <w:rPr>
          <w:highlight w:val="none"/>
        </w:rPr>
        <w:tab/>
      </w:r>
      <w:r>
        <w:rPr>
          <w:highlight w:val="none"/>
        </w:rPr>
        <w:fldChar w:fldCharType="begin"/>
      </w:r>
      <w:r>
        <w:rPr>
          <w:highlight w:val="none"/>
        </w:rPr>
        <w:instrText xml:space="preserve"> PAGEREF _Toc23947003 \h </w:instrText>
      </w:r>
      <w:r>
        <w:rPr>
          <w:highlight w:val="none"/>
        </w:rPr>
        <w:fldChar w:fldCharType="separate"/>
      </w:r>
      <w:r>
        <w:rPr>
          <w:highlight w:val="none"/>
        </w:rPr>
        <w:t>74</w:t>
      </w:r>
      <w:r>
        <w:rPr>
          <w:highlight w:val="none"/>
        </w:rPr>
        <w:fldChar w:fldCharType="end"/>
      </w:r>
      <w:r>
        <w:rPr>
          <w:highlight w:val="none"/>
        </w:rPr>
        <w:fldChar w:fldCharType="end"/>
      </w:r>
    </w:p>
    <w:p w14:paraId="398E8EC0">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"_Toc23947004" </w:instrText>
      </w:r>
      <w:r>
        <w:rPr>
          <w:highlight w:val="none"/>
        </w:rPr>
        <w:fldChar w:fldCharType="separate"/>
      </w:r>
      <w:r>
        <w:rPr>
          <w:rStyle w:val="36"/>
          <w:rFonts w:hint="eastAsia" w:ascii="黑体" w:hAnsi="黑体" w:eastAsia="黑体"/>
          <w:highlight w:val="none"/>
        </w:rPr>
        <w:t>第十章</w:t>
      </w:r>
      <w:r>
        <w:rPr>
          <w:rStyle w:val="36"/>
          <w:rFonts w:ascii="黑体" w:hAnsi="黑体" w:eastAsia="黑体"/>
          <w:highlight w:val="none"/>
        </w:rPr>
        <w:t xml:space="preserve"> </w:t>
      </w:r>
      <w:r>
        <w:rPr>
          <w:rStyle w:val="36"/>
          <w:rFonts w:hint="eastAsia" w:ascii="黑体" w:hAnsi="黑体" w:eastAsia="黑体"/>
          <w:highlight w:val="none"/>
        </w:rPr>
        <w:t>协议行权</w:t>
      </w:r>
      <w:r>
        <w:rPr>
          <w:highlight w:val="none"/>
        </w:rPr>
        <w:tab/>
      </w:r>
      <w:r>
        <w:rPr>
          <w:highlight w:val="none"/>
        </w:rPr>
        <w:fldChar w:fldCharType="begin"/>
      </w:r>
      <w:r>
        <w:rPr>
          <w:highlight w:val="none"/>
        </w:rPr>
        <w:instrText xml:space="preserve"> PAGEREF _Toc23947004 \h </w:instrText>
      </w:r>
      <w:r>
        <w:rPr>
          <w:highlight w:val="none"/>
        </w:rPr>
        <w:fldChar w:fldCharType="separate"/>
      </w:r>
      <w:r>
        <w:rPr>
          <w:highlight w:val="none"/>
        </w:rPr>
        <w:t>78</w:t>
      </w:r>
      <w:r>
        <w:rPr>
          <w:highlight w:val="none"/>
        </w:rPr>
        <w:fldChar w:fldCharType="end"/>
      </w:r>
      <w:r>
        <w:rPr>
          <w:highlight w:val="none"/>
        </w:rPr>
        <w:fldChar w:fldCharType="end"/>
      </w:r>
    </w:p>
    <w:p w14:paraId="33304B03">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"_Toc23947005" </w:instrText>
      </w:r>
      <w:r>
        <w:rPr>
          <w:highlight w:val="none"/>
        </w:rPr>
        <w:fldChar w:fldCharType="separate"/>
      </w:r>
      <w:r>
        <w:rPr>
          <w:rStyle w:val="36"/>
          <w:rFonts w:hint="eastAsia"/>
          <w:highlight w:val="none"/>
        </w:rPr>
        <w:t>一、协议行权策略</w:t>
      </w:r>
      <w:r>
        <w:rPr>
          <w:highlight w:val="none"/>
        </w:rPr>
        <w:tab/>
      </w:r>
      <w:r>
        <w:rPr>
          <w:highlight w:val="none"/>
        </w:rPr>
        <w:fldChar w:fldCharType="begin"/>
      </w:r>
      <w:r>
        <w:rPr>
          <w:highlight w:val="none"/>
        </w:rPr>
        <w:instrText xml:space="preserve"> PAGEREF _Toc23947005 \h </w:instrText>
      </w:r>
      <w:r>
        <w:rPr>
          <w:highlight w:val="none"/>
        </w:rPr>
        <w:fldChar w:fldCharType="separate"/>
      </w:r>
      <w:r>
        <w:rPr>
          <w:highlight w:val="none"/>
        </w:rPr>
        <w:t>78</w:t>
      </w:r>
      <w:r>
        <w:rPr>
          <w:highlight w:val="none"/>
        </w:rPr>
        <w:fldChar w:fldCharType="end"/>
      </w:r>
      <w:r>
        <w:rPr>
          <w:highlight w:val="none"/>
        </w:rPr>
        <w:fldChar w:fldCharType="end"/>
      </w:r>
    </w:p>
    <w:p w14:paraId="07B24480">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"_Toc23947006" </w:instrText>
      </w:r>
      <w:r>
        <w:rPr>
          <w:highlight w:val="none"/>
        </w:rPr>
        <w:fldChar w:fldCharType="separate"/>
      </w:r>
      <w:r>
        <w:rPr>
          <w:rStyle w:val="36"/>
          <w:rFonts w:hint="eastAsia"/>
          <w:highlight w:val="none"/>
        </w:rPr>
        <w:t>二、协议行权注意事项</w:t>
      </w:r>
      <w:r>
        <w:rPr>
          <w:highlight w:val="none"/>
        </w:rPr>
        <w:tab/>
      </w:r>
      <w:r>
        <w:rPr>
          <w:highlight w:val="none"/>
        </w:rPr>
        <w:fldChar w:fldCharType="begin"/>
      </w:r>
      <w:r>
        <w:rPr>
          <w:highlight w:val="none"/>
        </w:rPr>
        <w:instrText xml:space="preserve"> PAGEREF _Toc23947006 \h </w:instrText>
      </w:r>
      <w:r>
        <w:rPr>
          <w:highlight w:val="none"/>
        </w:rPr>
        <w:fldChar w:fldCharType="separate"/>
      </w:r>
      <w:r>
        <w:rPr>
          <w:highlight w:val="none"/>
        </w:rPr>
        <w:t>79</w:t>
      </w:r>
      <w:r>
        <w:rPr>
          <w:highlight w:val="none"/>
        </w:rPr>
        <w:fldChar w:fldCharType="end"/>
      </w:r>
      <w:r>
        <w:rPr>
          <w:highlight w:val="none"/>
        </w:rPr>
        <w:fldChar w:fldCharType="end"/>
      </w:r>
    </w:p>
    <w:p w14:paraId="73F99AD6">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"_Toc23947007" </w:instrText>
      </w:r>
      <w:r>
        <w:rPr>
          <w:highlight w:val="none"/>
        </w:rPr>
        <w:fldChar w:fldCharType="separate"/>
      </w:r>
      <w:r>
        <w:rPr>
          <w:rStyle w:val="36"/>
          <w:rFonts w:hint="eastAsia" w:ascii="黑体" w:hAnsi="黑体" w:eastAsia="黑体"/>
          <w:highlight w:val="none"/>
        </w:rPr>
        <w:t>第十一章</w:t>
      </w:r>
      <w:r>
        <w:rPr>
          <w:rStyle w:val="36"/>
          <w:rFonts w:ascii="黑体" w:hAnsi="黑体" w:eastAsia="黑体"/>
          <w:highlight w:val="none"/>
        </w:rPr>
        <w:t xml:space="preserve"> </w:t>
      </w:r>
      <w:r>
        <w:rPr>
          <w:rStyle w:val="36"/>
          <w:rFonts w:hint="eastAsia" w:ascii="黑体" w:hAnsi="黑体" w:eastAsia="黑体"/>
          <w:highlight w:val="none"/>
        </w:rPr>
        <w:t>客户资金划转与结算</w:t>
      </w:r>
      <w:r>
        <w:rPr>
          <w:highlight w:val="none"/>
        </w:rPr>
        <w:tab/>
      </w:r>
      <w:r>
        <w:rPr>
          <w:highlight w:val="none"/>
        </w:rPr>
        <w:fldChar w:fldCharType="begin"/>
      </w:r>
      <w:r>
        <w:rPr>
          <w:highlight w:val="none"/>
        </w:rPr>
        <w:instrText xml:space="preserve"> PAGEREF _Toc23947007 \h </w:instrText>
      </w:r>
      <w:r>
        <w:rPr>
          <w:highlight w:val="none"/>
        </w:rPr>
        <w:fldChar w:fldCharType="separate"/>
      </w:r>
      <w:r>
        <w:rPr>
          <w:highlight w:val="none"/>
        </w:rPr>
        <w:t>80</w:t>
      </w:r>
      <w:r>
        <w:rPr>
          <w:highlight w:val="none"/>
        </w:rPr>
        <w:fldChar w:fldCharType="end"/>
      </w:r>
      <w:r>
        <w:rPr>
          <w:highlight w:val="none"/>
        </w:rPr>
        <w:fldChar w:fldCharType="end"/>
      </w:r>
    </w:p>
    <w:p w14:paraId="203551BC">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"_Toc23947008" </w:instrText>
      </w:r>
      <w:r>
        <w:rPr>
          <w:highlight w:val="none"/>
        </w:rPr>
        <w:fldChar w:fldCharType="separate"/>
      </w:r>
      <w:r>
        <w:rPr>
          <w:rStyle w:val="36"/>
          <w:rFonts w:hint="eastAsia"/>
          <w:highlight w:val="none"/>
        </w:rPr>
        <w:t>一、资金划转</w:t>
      </w:r>
      <w:r>
        <w:rPr>
          <w:highlight w:val="none"/>
        </w:rPr>
        <w:tab/>
      </w:r>
      <w:r>
        <w:rPr>
          <w:highlight w:val="none"/>
        </w:rPr>
        <w:fldChar w:fldCharType="begin"/>
      </w:r>
      <w:r>
        <w:rPr>
          <w:highlight w:val="none"/>
        </w:rPr>
        <w:instrText xml:space="preserve"> PAGEREF _Toc23947008 \h </w:instrText>
      </w:r>
      <w:r>
        <w:rPr>
          <w:highlight w:val="none"/>
        </w:rPr>
        <w:fldChar w:fldCharType="separate"/>
      </w:r>
      <w:r>
        <w:rPr>
          <w:highlight w:val="none"/>
        </w:rPr>
        <w:t>80</w:t>
      </w:r>
      <w:r>
        <w:rPr>
          <w:highlight w:val="none"/>
        </w:rPr>
        <w:fldChar w:fldCharType="end"/>
      </w:r>
      <w:r>
        <w:rPr>
          <w:highlight w:val="none"/>
        </w:rPr>
        <w:fldChar w:fldCharType="end"/>
      </w:r>
    </w:p>
    <w:p w14:paraId="251D036D">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"_Toc23947009" </w:instrText>
      </w:r>
      <w:r>
        <w:rPr>
          <w:highlight w:val="none"/>
        </w:rPr>
        <w:fldChar w:fldCharType="separate"/>
      </w:r>
      <w:r>
        <w:rPr>
          <w:rStyle w:val="36"/>
          <w:rFonts w:hint="eastAsia"/>
          <w:highlight w:val="none"/>
        </w:rPr>
        <w:t>二、日常交易清算</w:t>
      </w:r>
      <w:r>
        <w:rPr>
          <w:highlight w:val="none"/>
        </w:rPr>
        <w:tab/>
      </w:r>
      <w:r>
        <w:rPr>
          <w:highlight w:val="none"/>
        </w:rPr>
        <w:fldChar w:fldCharType="begin"/>
      </w:r>
      <w:r>
        <w:rPr>
          <w:highlight w:val="none"/>
        </w:rPr>
        <w:instrText xml:space="preserve"> PAGEREF _Toc23947009 \h </w:instrText>
      </w:r>
      <w:r>
        <w:rPr>
          <w:highlight w:val="none"/>
        </w:rPr>
        <w:fldChar w:fldCharType="separate"/>
      </w:r>
      <w:r>
        <w:rPr>
          <w:highlight w:val="none"/>
        </w:rPr>
        <w:t>80</w:t>
      </w:r>
      <w:r>
        <w:rPr>
          <w:highlight w:val="none"/>
        </w:rPr>
        <w:fldChar w:fldCharType="end"/>
      </w:r>
      <w:r>
        <w:rPr>
          <w:highlight w:val="none"/>
        </w:rPr>
        <w:fldChar w:fldCharType="end"/>
      </w:r>
    </w:p>
    <w:p w14:paraId="24D1E3A3">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"_Toc23947010" </w:instrText>
      </w:r>
      <w:r>
        <w:rPr>
          <w:highlight w:val="none"/>
        </w:rPr>
        <w:fldChar w:fldCharType="separate"/>
      </w:r>
      <w:r>
        <w:rPr>
          <w:rStyle w:val="36"/>
          <w:rFonts w:hint="eastAsia"/>
          <w:highlight w:val="none"/>
        </w:rPr>
        <w:t>三、清算后数据对账</w:t>
      </w:r>
      <w:r>
        <w:rPr>
          <w:highlight w:val="none"/>
        </w:rPr>
        <w:tab/>
      </w:r>
      <w:r>
        <w:rPr>
          <w:highlight w:val="none"/>
        </w:rPr>
        <w:fldChar w:fldCharType="begin"/>
      </w:r>
      <w:r>
        <w:rPr>
          <w:highlight w:val="none"/>
        </w:rPr>
        <w:instrText xml:space="preserve"> PAGEREF _Toc23947010 \h </w:instrText>
      </w:r>
      <w:r>
        <w:rPr>
          <w:highlight w:val="none"/>
        </w:rPr>
        <w:fldChar w:fldCharType="separate"/>
      </w:r>
      <w:r>
        <w:rPr>
          <w:highlight w:val="none"/>
        </w:rPr>
        <w:t>81</w:t>
      </w:r>
      <w:r>
        <w:rPr>
          <w:highlight w:val="none"/>
        </w:rPr>
        <w:fldChar w:fldCharType="end"/>
      </w:r>
      <w:r>
        <w:rPr>
          <w:highlight w:val="none"/>
        </w:rPr>
        <w:fldChar w:fldCharType="end"/>
      </w:r>
    </w:p>
    <w:p w14:paraId="368100F2">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"_Toc23947011" </w:instrText>
      </w:r>
      <w:r>
        <w:rPr>
          <w:highlight w:val="none"/>
        </w:rPr>
        <w:fldChar w:fldCharType="separate"/>
      </w:r>
      <w:r>
        <w:rPr>
          <w:rStyle w:val="36"/>
          <w:rFonts w:hint="eastAsia"/>
          <w:highlight w:val="none"/>
        </w:rPr>
        <w:t>四、日常交易交收</w:t>
      </w:r>
      <w:r>
        <w:rPr>
          <w:highlight w:val="none"/>
        </w:rPr>
        <w:tab/>
      </w:r>
      <w:r>
        <w:rPr>
          <w:highlight w:val="none"/>
        </w:rPr>
        <w:fldChar w:fldCharType="begin"/>
      </w:r>
      <w:r>
        <w:rPr>
          <w:highlight w:val="none"/>
        </w:rPr>
        <w:instrText xml:space="preserve"> PAGEREF _Toc23947011 \h </w:instrText>
      </w:r>
      <w:r>
        <w:rPr>
          <w:highlight w:val="none"/>
        </w:rPr>
        <w:fldChar w:fldCharType="separate"/>
      </w:r>
      <w:r>
        <w:rPr>
          <w:highlight w:val="none"/>
        </w:rPr>
        <w:t>82</w:t>
      </w:r>
      <w:r>
        <w:rPr>
          <w:highlight w:val="none"/>
        </w:rPr>
        <w:fldChar w:fldCharType="end"/>
      </w:r>
      <w:r>
        <w:rPr>
          <w:highlight w:val="none"/>
        </w:rPr>
        <w:fldChar w:fldCharType="end"/>
      </w:r>
    </w:p>
    <w:p w14:paraId="32CE510F">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"_Toc23947012" </w:instrText>
      </w:r>
      <w:r>
        <w:rPr>
          <w:highlight w:val="none"/>
        </w:rPr>
        <w:fldChar w:fldCharType="separate"/>
      </w:r>
      <w:r>
        <w:rPr>
          <w:rStyle w:val="36"/>
          <w:rFonts w:hint="eastAsia" w:ascii="黑体" w:hAnsi="黑体" w:eastAsia="黑体"/>
          <w:highlight w:val="none"/>
        </w:rPr>
        <w:t>第十二章</w:t>
      </w:r>
      <w:r>
        <w:rPr>
          <w:rStyle w:val="36"/>
          <w:rFonts w:ascii="黑体" w:hAnsi="黑体" w:eastAsia="黑体"/>
          <w:highlight w:val="none"/>
        </w:rPr>
        <w:t xml:space="preserve"> </w:t>
      </w:r>
      <w:r>
        <w:rPr>
          <w:rStyle w:val="36"/>
          <w:rFonts w:hint="eastAsia" w:ascii="黑体" w:hAnsi="黑体" w:eastAsia="黑体"/>
          <w:highlight w:val="none"/>
        </w:rPr>
        <w:t>投资者数据报备</w:t>
      </w:r>
      <w:r>
        <w:rPr>
          <w:highlight w:val="none"/>
        </w:rPr>
        <w:tab/>
      </w:r>
      <w:r>
        <w:rPr>
          <w:highlight w:val="none"/>
        </w:rPr>
        <w:fldChar w:fldCharType="begin"/>
      </w:r>
      <w:r>
        <w:rPr>
          <w:highlight w:val="none"/>
        </w:rPr>
        <w:instrText xml:space="preserve"> PAGEREF _Toc23947012 \h </w:instrText>
      </w:r>
      <w:r>
        <w:rPr>
          <w:highlight w:val="none"/>
        </w:rPr>
        <w:fldChar w:fldCharType="separate"/>
      </w:r>
      <w:r>
        <w:rPr>
          <w:highlight w:val="none"/>
        </w:rPr>
        <w:t>83</w:t>
      </w:r>
      <w:r>
        <w:rPr>
          <w:highlight w:val="none"/>
        </w:rPr>
        <w:fldChar w:fldCharType="end"/>
      </w:r>
      <w:r>
        <w:rPr>
          <w:highlight w:val="none"/>
        </w:rPr>
        <w:fldChar w:fldCharType="end"/>
      </w:r>
    </w:p>
    <w:p w14:paraId="7635C82E">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"_Toc23947013" </w:instrText>
      </w:r>
      <w:r>
        <w:rPr>
          <w:highlight w:val="none"/>
        </w:rPr>
        <w:fldChar w:fldCharType="separate"/>
      </w:r>
      <w:r>
        <w:rPr>
          <w:rStyle w:val="36"/>
          <w:rFonts w:hint="eastAsia" w:ascii="黑体" w:hAnsi="黑体" w:eastAsia="黑体"/>
          <w:highlight w:val="none"/>
        </w:rPr>
        <w:t>第十三章</w:t>
      </w:r>
      <w:r>
        <w:rPr>
          <w:rStyle w:val="36"/>
          <w:rFonts w:ascii="黑体" w:hAnsi="黑体" w:eastAsia="黑体"/>
          <w:highlight w:val="none"/>
        </w:rPr>
        <w:t xml:space="preserve"> </w:t>
      </w:r>
      <w:r>
        <w:rPr>
          <w:rStyle w:val="36"/>
          <w:rFonts w:hint="eastAsia" w:ascii="黑体" w:hAnsi="黑体" w:eastAsia="黑体"/>
          <w:highlight w:val="none"/>
        </w:rPr>
        <w:t>程序</w:t>
      </w:r>
      <w:r>
        <w:rPr>
          <w:rStyle w:val="36"/>
          <w:rFonts w:hint="eastAsia" w:ascii="黑体" w:hAnsi="黑体" w:eastAsia="黑体"/>
          <w:highlight w:val="none"/>
          <w:lang w:val="en-US" w:eastAsia="zh-CN"/>
        </w:rPr>
        <w:t>化</w:t>
      </w:r>
      <w:r>
        <w:rPr>
          <w:rStyle w:val="36"/>
          <w:rFonts w:hint="eastAsia" w:ascii="黑体" w:hAnsi="黑体" w:eastAsia="黑体"/>
          <w:highlight w:val="none"/>
        </w:rPr>
        <w:t>交易</w:t>
      </w:r>
      <w:r>
        <w:rPr>
          <w:rStyle w:val="36"/>
          <w:rFonts w:hint="eastAsia" w:ascii="黑体" w:hAnsi="黑体" w:eastAsia="黑体"/>
          <w:highlight w:val="none"/>
          <w:lang w:val="en-US" w:eastAsia="zh-CN"/>
        </w:rPr>
        <w:t>报告</w:t>
      </w:r>
      <w:r>
        <w:rPr>
          <w:highlight w:val="none"/>
        </w:rPr>
        <w:tab/>
      </w:r>
      <w:r>
        <w:rPr>
          <w:highlight w:val="none"/>
        </w:rPr>
        <w:fldChar w:fldCharType="begin"/>
      </w:r>
      <w:r>
        <w:rPr>
          <w:highlight w:val="none"/>
        </w:rPr>
        <w:instrText xml:space="preserve"> PAGEREF _Toc23947013 \h </w:instrText>
      </w:r>
      <w:r>
        <w:rPr>
          <w:highlight w:val="none"/>
        </w:rPr>
        <w:fldChar w:fldCharType="separate"/>
      </w:r>
      <w:r>
        <w:rPr>
          <w:highlight w:val="none"/>
        </w:rPr>
        <w:t>85</w:t>
      </w:r>
      <w:r>
        <w:rPr>
          <w:highlight w:val="none"/>
        </w:rPr>
        <w:fldChar w:fldCharType="end"/>
      </w:r>
      <w:r>
        <w:rPr>
          <w:highlight w:val="none"/>
        </w:rPr>
        <w:fldChar w:fldCharType="end"/>
      </w:r>
    </w:p>
    <w:p w14:paraId="20736605">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"_Toc23947014" </w:instrText>
      </w:r>
      <w:r>
        <w:rPr>
          <w:highlight w:val="none"/>
        </w:rPr>
        <w:fldChar w:fldCharType="separate"/>
      </w:r>
      <w:r>
        <w:rPr>
          <w:rStyle w:val="36"/>
          <w:rFonts w:hint="eastAsia"/>
          <w:highlight w:val="none"/>
        </w:rPr>
        <w:t>一、程序</w:t>
      </w:r>
      <w:r>
        <w:rPr>
          <w:rStyle w:val="36"/>
          <w:rFonts w:hint="eastAsia"/>
          <w:highlight w:val="none"/>
          <w:lang w:val="en-US" w:eastAsia="zh-CN"/>
        </w:rPr>
        <w:t>化</w:t>
      </w:r>
      <w:r>
        <w:rPr>
          <w:rStyle w:val="36"/>
          <w:rFonts w:hint="eastAsia"/>
          <w:highlight w:val="none"/>
        </w:rPr>
        <w:t>交易接入管理要求</w:t>
      </w:r>
      <w:r>
        <w:rPr>
          <w:highlight w:val="none"/>
        </w:rPr>
        <w:tab/>
      </w:r>
      <w:r>
        <w:rPr>
          <w:highlight w:val="none"/>
        </w:rPr>
        <w:fldChar w:fldCharType="begin"/>
      </w:r>
      <w:r>
        <w:rPr>
          <w:highlight w:val="none"/>
        </w:rPr>
        <w:instrText xml:space="preserve"> PAGEREF _Toc23947014 \h </w:instrText>
      </w:r>
      <w:r>
        <w:rPr>
          <w:highlight w:val="none"/>
        </w:rPr>
        <w:fldChar w:fldCharType="separate"/>
      </w:r>
      <w:r>
        <w:rPr>
          <w:highlight w:val="none"/>
        </w:rPr>
        <w:t>85</w:t>
      </w:r>
      <w:r>
        <w:rPr>
          <w:highlight w:val="none"/>
        </w:rPr>
        <w:fldChar w:fldCharType="end"/>
      </w:r>
      <w:r>
        <w:rPr>
          <w:highlight w:val="none"/>
        </w:rPr>
        <w:fldChar w:fldCharType="end"/>
      </w:r>
    </w:p>
    <w:p w14:paraId="393B8BC9">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"_Toc23947015" </w:instrText>
      </w:r>
      <w:r>
        <w:rPr>
          <w:highlight w:val="none"/>
        </w:rPr>
        <w:fldChar w:fldCharType="separate"/>
      </w:r>
      <w:r>
        <w:rPr>
          <w:rStyle w:val="36"/>
          <w:rFonts w:hint="eastAsia"/>
          <w:highlight w:val="none"/>
        </w:rPr>
        <w:t>二、程序</w:t>
      </w:r>
      <w:r>
        <w:rPr>
          <w:rStyle w:val="36"/>
          <w:rFonts w:hint="eastAsia"/>
          <w:highlight w:val="none"/>
          <w:lang w:val="en-US" w:eastAsia="zh-CN"/>
        </w:rPr>
        <w:t>化</w:t>
      </w:r>
      <w:r>
        <w:rPr>
          <w:rStyle w:val="36"/>
          <w:rFonts w:hint="eastAsia"/>
          <w:highlight w:val="none"/>
        </w:rPr>
        <w:t>交易</w:t>
      </w:r>
      <w:r>
        <w:rPr>
          <w:rStyle w:val="36"/>
          <w:rFonts w:hint="eastAsia"/>
          <w:highlight w:val="none"/>
          <w:lang w:val="en-US" w:eastAsia="zh-CN"/>
        </w:rPr>
        <w:t>报告</w:t>
      </w:r>
      <w:r>
        <w:rPr>
          <w:rStyle w:val="36"/>
          <w:rFonts w:hint="eastAsia"/>
          <w:highlight w:val="none"/>
        </w:rPr>
        <w:t>管理要求</w:t>
      </w:r>
      <w:r>
        <w:rPr>
          <w:highlight w:val="none"/>
        </w:rPr>
        <w:tab/>
      </w:r>
      <w:r>
        <w:rPr>
          <w:highlight w:val="none"/>
        </w:rPr>
        <w:fldChar w:fldCharType="begin"/>
      </w:r>
      <w:r>
        <w:rPr>
          <w:highlight w:val="none"/>
        </w:rPr>
        <w:instrText xml:space="preserve"> PAGEREF _Toc23947015 \h </w:instrText>
      </w:r>
      <w:r>
        <w:rPr>
          <w:highlight w:val="none"/>
        </w:rPr>
        <w:fldChar w:fldCharType="separate"/>
      </w:r>
      <w:r>
        <w:rPr>
          <w:highlight w:val="none"/>
        </w:rPr>
        <w:t>85</w:t>
      </w:r>
      <w:r>
        <w:rPr>
          <w:highlight w:val="none"/>
        </w:rPr>
        <w:fldChar w:fldCharType="end"/>
      </w:r>
      <w:r>
        <w:rPr>
          <w:highlight w:val="none"/>
        </w:rPr>
        <w:fldChar w:fldCharType="end"/>
      </w:r>
    </w:p>
    <w:p w14:paraId="777555F6">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"_Toc23947016" </w:instrText>
      </w:r>
      <w:r>
        <w:rPr>
          <w:highlight w:val="none"/>
        </w:rPr>
        <w:fldChar w:fldCharType="separate"/>
      </w:r>
      <w:r>
        <w:rPr>
          <w:rStyle w:val="36"/>
          <w:rFonts w:hint="eastAsia"/>
          <w:highlight w:val="none"/>
        </w:rPr>
        <w:t>三、变更</w:t>
      </w:r>
      <w:r>
        <w:rPr>
          <w:rStyle w:val="36"/>
          <w:rFonts w:hint="eastAsia"/>
          <w:highlight w:val="none"/>
          <w:lang w:val="en-US" w:eastAsia="zh-CN"/>
        </w:rPr>
        <w:t>报告</w:t>
      </w:r>
      <w:r>
        <w:rPr>
          <w:highlight w:val="none"/>
        </w:rPr>
        <w:tab/>
      </w:r>
      <w:r>
        <w:rPr>
          <w:highlight w:val="none"/>
        </w:rPr>
        <w:fldChar w:fldCharType="begin"/>
      </w:r>
      <w:r>
        <w:rPr>
          <w:highlight w:val="none"/>
        </w:rPr>
        <w:instrText xml:space="preserve"> PAGEREF _Toc23947016 \h </w:instrText>
      </w:r>
      <w:r>
        <w:rPr>
          <w:highlight w:val="none"/>
        </w:rPr>
        <w:fldChar w:fldCharType="separate"/>
      </w:r>
      <w:r>
        <w:rPr>
          <w:highlight w:val="none"/>
        </w:rPr>
        <w:t>86</w:t>
      </w:r>
      <w:r>
        <w:rPr>
          <w:highlight w:val="none"/>
        </w:rPr>
        <w:fldChar w:fldCharType="end"/>
      </w:r>
      <w:r>
        <w:rPr>
          <w:highlight w:val="none"/>
        </w:rPr>
        <w:fldChar w:fldCharType="end"/>
      </w:r>
    </w:p>
    <w:p w14:paraId="3F0AE45A">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"_Toc23947017" </w:instrText>
      </w:r>
      <w:r>
        <w:rPr>
          <w:highlight w:val="none"/>
        </w:rPr>
        <w:fldChar w:fldCharType="separate"/>
      </w:r>
      <w:r>
        <w:rPr>
          <w:rStyle w:val="36"/>
          <w:rFonts w:hint="eastAsia"/>
          <w:highlight w:val="none"/>
          <w:lang w:val="zh-CN"/>
        </w:rPr>
        <w:t>四、程序</w:t>
      </w:r>
      <w:r>
        <w:rPr>
          <w:rStyle w:val="36"/>
          <w:rFonts w:hint="eastAsia"/>
          <w:highlight w:val="none"/>
          <w:lang w:val="en-US" w:eastAsia="zh-CN"/>
        </w:rPr>
        <w:t>化</w:t>
      </w:r>
      <w:r>
        <w:rPr>
          <w:rStyle w:val="36"/>
          <w:rFonts w:hint="eastAsia"/>
          <w:highlight w:val="none"/>
          <w:lang w:val="zh-CN"/>
        </w:rPr>
        <w:t>交易的监管</w:t>
      </w:r>
      <w:r>
        <w:rPr>
          <w:highlight w:val="none"/>
        </w:rPr>
        <w:tab/>
      </w:r>
      <w:r>
        <w:rPr>
          <w:highlight w:val="none"/>
        </w:rPr>
        <w:fldChar w:fldCharType="begin"/>
      </w:r>
      <w:r>
        <w:rPr>
          <w:highlight w:val="none"/>
        </w:rPr>
        <w:instrText xml:space="preserve"> PAGEREF _Toc23947017 \h </w:instrText>
      </w:r>
      <w:r>
        <w:rPr>
          <w:highlight w:val="none"/>
        </w:rPr>
        <w:fldChar w:fldCharType="separate"/>
      </w:r>
      <w:r>
        <w:rPr>
          <w:highlight w:val="none"/>
        </w:rPr>
        <w:t>86</w:t>
      </w:r>
      <w:r>
        <w:rPr>
          <w:highlight w:val="none"/>
        </w:rPr>
        <w:fldChar w:fldCharType="end"/>
      </w:r>
      <w:r>
        <w:rPr>
          <w:highlight w:val="none"/>
        </w:rPr>
        <w:fldChar w:fldCharType="end"/>
      </w:r>
    </w:p>
    <w:p w14:paraId="1207982E">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"_Toc23947018" </w:instrText>
      </w:r>
      <w:r>
        <w:rPr>
          <w:highlight w:val="none"/>
        </w:rPr>
        <w:fldChar w:fldCharType="separate"/>
      </w:r>
      <w:r>
        <w:rPr>
          <w:rStyle w:val="36"/>
          <w:rFonts w:hint="eastAsia" w:ascii="黑体" w:hAnsi="黑体" w:eastAsia="黑体"/>
          <w:highlight w:val="none"/>
        </w:rPr>
        <w:t>第十四章</w:t>
      </w:r>
      <w:r>
        <w:rPr>
          <w:rStyle w:val="36"/>
          <w:rFonts w:ascii="黑体" w:hAnsi="黑体" w:eastAsia="黑体"/>
          <w:highlight w:val="none"/>
        </w:rPr>
        <w:t xml:space="preserve">  </w:t>
      </w:r>
      <w:r>
        <w:rPr>
          <w:rStyle w:val="36"/>
          <w:rFonts w:hint="eastAsia" w:ascii="黑体" w:hAnsi="黑体" w:eastAsia="黑体"/>
          <w:highlight w:val="none"/>
        </w:rPr>
        <w:t>大户报告</w:t>
      </w:r>
      <w:r>
        <w:rPr>
          <w:highlight w:val="none"/>
        </w:rPr>
        <w:tab/>
      </w:r>
      <w:r>
        <w:rPr>
          <w:highlight w:val="none"/>
        </w:rPr>
        <w:fldChar w:fldCharType="begin"/>
      </w:r>
      <w:r>
        <w:rPr>
          <w:highlight w:val="none"/>
        </w:rPr>
        <w:instrText xml:space="preserve"> PAGEREF _Toc23947018 \h </w:instrText>
      </w:r>
      <w:r>
        <w:rPr>
          <w:highlight w:val="none"/>
        </w:rPr>
        <w:fldChar w:fldCharType="separate"/>
      </w:r>
      <w:r>
        <w:rPr>
          <w:highlight w:val="none"/>
        </w:rPr>
        <w:t>88</w:t>
      </w:r>
      <w:r>
        <w:rPr>
          <w:highlight w:val="none"/>
        </w:rPr>
        <w:fldChar w:fldCharType="end"/>
      </w:r>
      <w:r>
        <w:rPr>
          <w:highlight w:val="none"/>
        </w:rPr>
        <w:fldChar w:fldCharType="end"/>
      </w:r>
    </w:p>
    <w:p w14:paraId="55D94DA8">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"_Toc23947014" </w:instrText>
      </w:r>
      <w:r>
        <w:rPr>
          <w:highlight w:val="none"/>
        </w:rPr>
        <w:fldChar w:fldCharType="separate"/>
      </w:r>
      <w:r>
        <w:rPr>
          <w:rStyle w:val="36"/>
          <w:rFonts w:hint="eastAsia"/>
          <w:highlight w:val="none"/>
        </w:rPr>
        <w:t>一、报告要求和报告材料</w:t>
      </w:r>
      <w:r>
        <w:rPr>
          <w:highlight w:val="none"/>
        </w:rPr>
        <w:tab/>
      </w:r>
      <w:r>
        <w:rPr>
          <w:highlight w:val="none"/>
        </w:rPr>
        <w:fldChar w:fldCharType="begin"/>
      </w:r>
      <w:r>
        <w:rPr>
          <w:highlight w:val="none"/>
        </w:rPr>
        <w:instrText xml:space="preserve"> PAGEREF _Toc23947014 \h </w:instrText>
      </w:r>
      <w:r>
        <w:rPr>
          <w:highlight w:val="none"/>
        </w:rPr>
        <w:fldChar w:fldCharType="separate"/>
      </w:r>
      <w:r>
        <w:rPr>
          <w:highlight w:val="none"/>
        </w:rPr>
        <w:t>8</w:t>
      </w:r>
      <w:r>
        <w:rPr>
          <w:rFonts w:hint="eastAsia"/>
          <w:highlight w:val="none"/>
          <w:lang w:val="en-US" w:eastAsia="zh-CN"/>
        </w:rPr>
        <w:t>8</w:t>
      </w:r>
      <w:r>
        <w:rPr>
          <w:highlight w:val="none"/>
        </w:rPr>
        <w:fldChar w:fldCharType="end"/>
      </w:r>
      <w:r>
        <w:rPr>
          <w:highlight w:val="none"/>
        </w:rPr>
        <w:fldChar w:fldCharType="end"/>
      </w:r>
    </w:p>
    <w:p w14:paraId="042AF24B">
      <w:pPr>
        <w:pStyle w:val="25"/>
        <w:tabs>
          <w:tab w:val="right" w:leader="dot" w:pos="8296"/>
        </w:tabs>
        <w:rPr>
          <w:highlight w:val="none"/>
        </w:rPr>
      </w:pPr>
      <w:r>
        <w:rPr>
          <w:highlight w:val="none"/>
        </w:rPr>
        <w:fldChar w:fldCharType="begin"/>
      </w:r>
      <w:r>
        <w:rPr>
          <w:highlight w:val="none"/>
        </w:rPr>
        <w:instrText xml:space="preserve"> HYPERLINK \l "_Toc23947015" </w:instrText>
      </w:r>
      <w:r>
        <w:rPr>
          <w:highlight w:val="none"/>
        </w:rPr>
        <w:fldChar w:fldCharType="separate"/>
      </w:r>
      <w:r>
        <w:rPr>
          <w:rStyle w:val="36"/>
          <w:rFonts w:hint="eastAsia"/>
          <w:highlight w:val="none"/>
        </w:rPr>
        <w:t>二、报告注意事项</w:t>
      </w:r>
      <w:r>
        <w:rPr>
          <w:highlight w:val="none"/>
        </w:rPr>
        <w:tab/>
      </w:r>
      <w:r>
        <w:rPr>
          <w:highlight w:val="none"/>
        </w:rPr>
        <w:fldChar w:fldCharType="begin"/>
      </w:r>
      <w:r>
        <w:rPr>
          <w:highlight w:val="none"/>
        </w:rPr>
        <w:instrText xml:space="preserve"> PAGEREF _Toc23947015 \h </w:instrText>
      </w:r>
      <w:r>
        <w:rPr>
          <w:highlight w:val="none"/>
        </w:rPr>
        <w:fldChar w:fldCharType="separate"/>
      </w:r>
      <w:r>
        <w:rPr>
          <w:highlight w:val="none"/>
        </w:rPr>
        <w:t>8</w:t>
      </w:r>
      <w:r>
        <w:rPr>
          <w:rFonts w:hint="eastAsia"/>
          <w:highlight w:val="none"/>
          <w:lang w:val="en-US" w:eastAsia="zh-CN"/>
        </w:rPr>
        <w:t>8</w:t>
      </w:r>
      <w:r>
        <w:rPr>
          <w:highlight w:val="none"/>
        </w:rPr>
        <w:fldChar w:fldCharType="end"/>
      </w:r>
      <w:r>
        <w:rPr>
          <w:highlight w:val="none"/>
        </w:rPr>
        <w:fldChar w:fldCharType="end"/>
      </w:r>
    </w:p>
    <w:p w14:paraId="46AF2D5F">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"_Toc23947019" </w:instrText>
      </w:r>
      <w:r>
        <w:rPr>
          <w:highlight w:val="none"/>
        </w:rPr>
        <w:fldChar w:fldCharType="separate"/>
      </w:r>
      <w:r>
        <w:rPr>
          <w:rStyle w:val="36"/>
          <w:rFonts w:hint="eastAsia" w:ascii="黑体" w:hAnsi="黑体" w:eastAsia="黑体"/>
          <w:highlight w:val="none"/>
        </w:rPr>
        <w:t>第十五章</w:t>
      </w:r>
      <w:r>
        <w:rPr>
          <w:rStyle w:val="36"/>
          <w:rFonts w:ascii="黑体" w:hAnsi="黑体" w:eastAsia="黑体"/>
          <w:highlight w:val="none"/>
        </w:rPr>
        <w:t xml:space="preserve"> </w:t>
      </w:r>
      <w:r>
        <w:rPr>
          <w:rStyle w:val="36"/>
          <w:rFonts w:hint="eastAsia" w:ascii="黑体" w:hAnsi="黑体" w:eastAsia="黑体"/>
          <w:highlight w:val="none"/>
        </w:rPr>
        <w:t>应急预案</w:t>
      </w:r>
      <w:r>
        <w:rPr>
          <w:highlight w:val="none"/>
        </w:rPr>
        <w:tab/>
      </w:r>
      <w:r>
        <w:rPr>
          <w:highlight w:val="none"/>
        </w:rPr>
        <w:fldChar w:fldCharType="begin"/>
      </w:r>
      <w:r>
        <w:rPr>
          <w:highlight w:val="none"/>
        </w:rPr>
        <w:instrText xml:space="preserve"> PAGEREF _Toc23947019 \h </w:instrText>
      </w:r>
      <w:r>
        <w:rPr>
          <w:highlight w:val="none"/>
        </w:rPr>
        <w:fldChar w:fldCharType="separate"/>
      </w:r>
      <w:r>
        <w:rPr>
          <w:highlight w:val="none"/>
        </w:rPr>
        <w:t>90</w:t>
      </w:r>
      <w:r>
        <w:rPr>
          <w:highlight w:val="none"/>
        </w:rPr>
        <w:fldChar w:fldCharType="end"/>
      </w:r>
      <w:r>
        <w:rPr>
          <w:highlight w:val="none"/>
        </w:rPr>
        <w:fldChar w:fldCharType="end"/>
      </w:r>
    </w:p>
    <w:p w14:paraId="29CA1397">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"_Toc23947020" </w:instrText>
      </w:r>
      <w:r>
        <w:rPr>
          <w:highlight w:val="none"/>
        </w:rPr>
        <w:fldChar w:fldCharType="separate"/>
      </w:r>
      <w:r>
        <w:rPr>
          <w:rStyle w:val="36"/>
          <w:rFonts w:hint="eastAsia"/>
          <w:highlight w:val="none"/>
        </w:rPr>
        <w:t>一、业务人员操作应急事件</w:t>
      </w:r>
      <w:r>
        <w:rPr>
          <w:highlight w:val="none"/>
        </w:rPr>
        <w:tab/>
      </w:r>
      <w:r>
        <w:rPr>
          <w:highlight w:val="none"/>
        </w:rPr>
        <w:fldChar w:fldCharType="begin"/>
      </w:r>
      <w:r>
        <w:rPr>
          <w:highlight w:val="none"/>
        </w:rPr>
        <w:instrText xml:space="preserve"> PAGEREF _Toc23947020 \h </w:instrText>
      </w:r>
      <w:r>
        <w:rPr>
          <w:highlight w:val="none"/>
        </w:rPr>
        <w:fldChar w:fldCharType="separate"/>
      </w:r>
      <w:r>
        <w:rPr>
          <w:highlight w:val="none"/>
        </w:rPr>
        <w:t>90</w:t>
      </w:r>
      <w:r>
        <w:rPr>
          <w:highlight w:val="none"/>
        </w:rPr>
        <w:fldChar w:fldCharType="end"/>
      </w:r>
      <w:r>
        <w:rPr>
          <w:highlight w:val="none"/>
        </w:rPr>
        <w:fldChar w:fldCharType="end"/>
      </w:r>
    </w:p>
    <w:p w14:paraId="59CB651A">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"_Toc23947021" </w:instrText>
      </w:r>
      <w:r>
        <w:rPr>
          <w:highlight w:val="none"/>
        </w:rPr>
        <w:fldChar w:fldCharType="separate"/>
      </w:r>
      <w:r>
        <w:rPr>
          <w:rStyle w:val="36"/>
          <w:rFonts w:hint="eastAsia"/>
          <w:highlight w:val="none"/>
        </w:rPr>
        <w:t>二、系统技术应急事件</w:t>
      </w:r>
      <w:r>
        <w:rPr>
          <w:highlight w:val="none"/>
        </w:rPr>
        <w:tab/>
      </w:r>
      <w:r>
        <w:rPr>
          <w:highlight w:val="none"/>
        </w:rPr>
        <w:fldChar w:fldCharType="begin"/>
      </w:r>
      <w:r>
        <w:rPr>
          <w:highlight w:val="none"/>
        </w:rPr>
        <w:instrText xml:space="preserve"> PAGEREF _Toc23947021 \h </w:instrText>
      </w:r>
      <w:r>
        <w:rPr>
          <w:highlight w:val="none"/>
        </w:rPr>
        <w:fldChar w:fldCharType="separate"/>
      </w:r>
      <w:r>
        <w:rPr>
          <w:highlight w:val="none"/>
        </w:rPr>
        <w:t>90</w:t>
      </w:r>
      <w:r>
        <w:rPr>
          <w:highlight w:val="none"/>
        </w:rPr>
        <w:fldChar w:fldCharType="end"/>
      </w:r>
      <w:r>
        <w:rPr>
          <w:highlight w:val="none"/>
        </w:rPr>
        <w:fldChar w:fldCharType="end"/>
      </w:r>
    </w:p>
    <w:p w14:paraId="27E555F9">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"_Toc23947022" </w:instrText>
      </w:r>
      <w:r>
        <w:rPr>
          <w:highlight w:val="none"/>
        </w:rPr>
        <w:fldChar w:fldCharType="separate"/>
      </w:r>
      <w:r>
        <w:rPr>
          <w:rStyle w:val="36"/>
          <w:rFonts w:hint="eastAsia"/>
          <w:highlight w:val="none"/>
        </w:rPr>
        <w:t>三、交易异常事件</w:t>
      </w:r>
      <w:r>
        <w:rPr>
          <w:highlight w:val="none"/>
        </w:rPr>
        <w:tab/>
      </w:r>
      <w:r>
        <w:rPr>
          <w:highlight w:val="none"/>
        </w:rPr>
        <w:fldChar w:fldCharType="begin"/>
      </w:r>
      <w:r>
        <w:rPr>
          <w:highlight w:val="none"/>
        </w:rPr>
        <w:instrText xml:space="preserve"> PAGEREF _Toc23947022 \h </w:instrText>
      </w:r>
      <w:r>
        <w:rPr>
          <w:highlight w:val="none"/>
        </w:rPr>
        <w:fldChar w:fldCharType="separate"/>
      </w:r>
      <w:r>
        <w:rPr>
          <w:highlight w:val="none"/>
        </w:rPr>
        <w:t>91</w:t>
      </w:r>
      <w:r>
        <w:rPr>
          <w:highlight w:val="none"/>
        </w:rPr>
        <w:fldChar w:fldCharType="end"/>
      </w:r>
      <w:r>
        <w:rPr>
          <w:highlight w:val="none"/>
        </w:rPr>
        <w:fldChar w:fldCharType="end"/>
      </w:r>
    </w:p>
    <w:p w14:paraId="009E51DC">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"_Toc23947023" </w:instrText>
      </w:r>
      <w:r>
        <w:rPr>
          <w:highlight w:val="none"/>
        </w:rPr>
        <w:fldChar w:fldCharType="separate"/>
      </w:r>
      <w:r>
        <w:rPr>
          <w:rStyle w:val="36"/>
          <w:rFonts w:hint="eastAsia"/>
          <w:highlight w:val="none"/>
        </w:rPr>
        <w:t>四、结算异常事件</w:t>
      </w:r>
      <w:r>
        <w:rPr>
          <w:highlight w:val="none"/>
        </w:rPr>
        <w:tab/>
      </w:r>
      <w:r>
        <w:rPr>
          <w:highlight w:val="none"/>
        </w:rPr>
        <w:fldChar w:fldCharType="begin"/>
      </w:r>
      <w:r>
        <w:rPr>
          <w:highlight w:val="none"/>
        </w:rPr>
        <w:instrText xml:space="preserve"> PAGEREF _Toc23947023 \h </w:instrText>
      </w:r>
      <w:r>
        <w:rPr>
          <w:highlight w:val="none"/>
        </w:rPr>
        <w:fldChar w:fldCharType="separate"/>
      </w:r>
      <w:r>
        <w:rPr>
          <w:highlight w:val="none"/>
        </w:rPr>
        <w:t>91</w:t>
      </w:r>
      <w:r>
        <w:rPr>
          <w:highlight w:val="none"/>
        </w:rPr>
        <w:fldChar w:fldCharType="end"/>
      </w:r>
      <w:r>
        <w:rPr>
          <w:highlight w:val="none"/>
        </w:rPr>
        <w:fldChar w:fldCharType="end"/>
      </w:r>
    </w:p>
    <w:p w14:paraId="31B526CB">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"_Toc23947024" </w:instrText>
      </w:r>
      <w:r>
        <w:rPr>
          <w:highlight w:val="none"/>
        </w:rPr>
        <w:fldChar w:fldCharType="separate"/>
      </w:r>
      <w:r>
        <w:rPr>
          <w:rStyle w:val="36"/>
          <w:rFonts w:hint="eastAsia" w:ascii="黑体" w:hAnsi="黑体" w:eastAsia="黑体"/>
          <w:highlight w:val="none"/>
        </w:rPr>
        <w:t>第十六章</w:t>
      </w:r>
      <w:r>
        <w:rPr>
          <w:rStyle w:val="36"/>
          <w:rFonts w:ascii="黑体" w:hAnsi="黑体" w:eastAsia="黑体"/>
          <w:highlight w:val="none"/>
        </w:rPr>
        <w:t xml:space="preserve"> </w:t>
      </w:r>
      <w:r>
        <w:rPr>
          <w:rStyle w:val="36"/>
          <w:rFonts w:hint="eastAsia" w:ascii="黑体" w:hAnsi="黑体" w:eastAsia="黑体"/>
          <w:highlight w:val="none"/>
        </w:rPr>
        <w:t>交易信息及提醒及</w:t>
      </w:r>
      <w:r>
        <w:rPr>
          <w:rStyle w:val="36"/>
          <w:rFonts w:hint="eastAsia" w:ascii="黑体" w:hAnsi="黑体" w:eastAsia="黑体"/>
          <w:highlight w:val="none"/>
          <w:lang w:val="en-US" w:eastAsia="zh-CN"/>
        </w:rPr>
        <w:t>股票</w:t>
      </w:r>
      <w:r>
        <w:rPr>
          <w:rStyle w:val="36"/>
          <w:rFonts w:hint="eastAsia" w:ascii="黑体" w:hAnsi="黑体" w:eastAsia="黑体"/>
          <w:highlight w:val="none"/>
        </w:rPr>
        <w:t>期权基础信息接口文件说明</w:t>
      </w:r>
      <w:r>
        <w:rPr>
          <w:highlight w:val="none"/>
        </w:rPr>
        <w:tab/>
      </w:r>
      <w:r>
        <w:rPr>
          <w:highlight w:val="none"/>
        </w:rPr>
        <w:fldChar w:fldCharType="begin"/>
      </w:r>
      <w:r>
        <w:rPr>
          <w:highlight w:val="none"/>
        </w:rPr>
        <w:instrText xml:space="preserve"> PAGEREF _Toc23947024 \h </w:instrText>
      </w:r>
      <w:r>
        <w:rPr>
          <w:highlight w:val="none"/>
        </w:rPr>
        <w:fldChar w:fldCharType="separate"/>
      </w:r>
      <w:r>
        <w:rPr>
          <w:highlight w:val="none"/>
        </w:rPr>
        <w:t>92</w:t>
      </w:r>
      <w:r>
        <w:rPr>
          <w:highlight w:val="none"/>
        </w:rPr>
        <w:fldChar w:fldCharType="end"/>
      </w:r>
      <w:r>
        <w:rPr>
          <w:highlight w:val="none"/>
        </w:rPr>
        <w:fldChar w:fldCharType="end"/>
      </w:r>
    </w:p>
    <w:p w14:paraId="31BE2D83">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"_Toc23947026" </w:instrText>
      </w:r>
      <w:r>
        <w:rPr>
          <w:highlight w:val="none"/>
        </w:rPr>
        <w:fldChar w:fldCharType="separate"/>
      </w:r>
      <w:r>
        <w:rPr>
          <w:rStyle w:val="36"/>
          <w:rFonts w:hint="eastAsia"/>
          <w:highlight w:val="none"/>
        </w:rPr>
        <w:t>一、交易信息内容</w:t>
      </w:r>
      <w:r>
        <w:rPr>
          <w:highlight w:val="none"/>
        </w:rPr>
        <w:tab/>
      </w:r>
      <w:r>
        <w:rPr>
          <w:highlight w:val="none"/>
        </w:rPr>
        <w:fldChar w:fldCharType="begin"/>
      </w:r>
      <w:r>
        <w:rPr>
          <w:highlight w:val="none"/>
        </w:rPr>
        <w:instrText xml:space="preserve"> PAGEREF _Toc23947026 \h </w:instrText>
      </w:r>
      <w:r>
        <w:rPr>
          <w:highlight w:val="none"/>
        </w:rPr>
        <w:fldChar w:fldCharType="separate"/>
      </w:r>
      <w:r>
        <w:rPr>
          <w:highlight w:val="none"/>
        </w:rPr>
        <w:t>92</w:t>
      </w:r>
      <w:r>
        <w:rPr>
          <w:highlight w:val="none"/>
        </w:rPr>
        <w:fldChar w:fldCharType="end"/>
      </w:r>
      <w:r>
        <w:rPr>
          <w:highlight w:val="none"/>
        </w:rPr>
        <w:fldChar w:fldCharType="end"/>
      </w:r>
    </w:p>
    <w:p w14:paraId="4472E7AC">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"_Toc23947027" </w:instrText>
      </w:r>
      <w:r>
        <w:rPr>
          <w:highlight w:val="none"/>
        </w:rPr>
        <w:fldChar w:fldCharType="separate"/>
      </w:r>
      <w:r>
        <w:rPr>
          <w:rStyle w:val="36"/>
          <w:rFonts w:hint="eastAsia"/>
          <w:highlight w:val="none"/>
        </w:rPr>
        <w:t>二、信息公告与提醒</w:t>
      </w:r>
      <w:r>
        <w:rPr>
          <w:highlight w:val="none"/>
        </w:rPr>
        <w:tab/>
      </w:r>
      <w:r>
        <w:rPr>
          <w:highlight w:val="none"/>
        </w:rPr>
        <w:fldChar w:fldCharType="begin"/>
      </w:r>
      <w:r>
        <w:rPr>
          <w:highlight w:val="none"/>
        </w:rPr>
        <w:instrText xml:space="preserve"> PAGEREF _Toc23947027 \h </w:instrText>
      </w:r>
      <w:r>
        <w:rPr>
          <w:highlight w:val="none"/>
        </w:rPr>
        <w:fldChar w:fldCharType="separate"/>
      </w:r>
      <w:r>
        <w:rPr>
          <w:highlight w:val="none"/>
        </w:rPr>
        <w:t>92</w:t>
      </w:r>
      <w:r>
        <w:rPr>
          <w:highlight w:val="none"/>
        </w:rPr>
        <w:fldChar w:fldCharType="end"/>
      </w:r>
      <w:r>
        <w:rPr>
          <w:highlight w:val="none"/>
        </w:rPr>
        <w:fldChar w:fldCharType="end"/>
      </w:r>
    </w:p>
    <w:p w14:paraId="11F0299F">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"_Toc23947028" </w:instrText>
      </w:r>
      <w:r>
        <w:rPr>
          <w:highlight w:val="none"/>
        </w:rPr>
        <w:fldChar w:fldCharType="separate"/>
      </w:r>
      <w:r>
        <w:rPr>
          <w:rStyle w:val="36"/>
          <w:rFonts w:hint="eastAsia"/>
          <w:highlight w:val="none"/>
        </w:rPr>
        <w:t>三、股票期权基础信息接口文件说明</w:t>
      </w:r>
      <w:r>
        <w:rPr>
          <w:highlight w:val="none"/>
        </w:rPr>
        <w:tab/>
      </w:r>
      <w:r>
        <w:rPr>
          <w:highlight w:val="none"/>
        </w:rPr>
        <w:fldChar w:fldCharType="begin"/>
      </w:r>
      <w:r>
        <w:rPr>
          <w:highlight w:val="none"/>
        </w:rPr>
        <w:instrText xml:space="preserve"> PAGEREF _Toc23947028 \h </w:instrText>
      </w:r>
      <w:r>
        <w:rPr>
          <w:highlight w:val="none"/>
        </w:rPr>
        <w:fldChar w:fldCharType="separate"/>
      </w:r>
      <w:r>
        <w:rPr>
          <w:highlight w:val="none"/>
        </w:rPr>
        <w:t>94</w:t>
      </w:r>
      <w:r>
        <w:rPr>
          <w:highlight w:val="none"/>
        </w:rPr>
        <w:fldChar w:fldCharType="end"/>
      </w:r>
      <w:r>
        <w:rPr>
          <w:highlight w:val="none"/>
        </w:rPr>
        <w:fldChar w:fldCharType="end"/>
      </w:r>
    </w:p>
    <w:p w14:paraId="79B6A5D2">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"_Toc23947029" </w:instrText>
      </w:r>
      <w:r>
        <w:rPr>
          <w:highlight w:val="none"/>
        </w:rPr>
        <w:fldChar w:fldCharType="separate"/>
      </w:r>
      <w:r>
        <w:rPr>
          <w:rStyle w:val="36"/>
          <w:rFonts w:hint="eastAsia" w:ascii="黑体" w:hAnsi="黑体" w:eastAsia="黑体"/>
          <w:highlight w:val="none"/>
        </w:rPr>
        <w:t>第十七章</w:t>
      </w:r>
      <w:r>
        <w:rPr>
          <w:rStyle w:val="36"/>
          <w:rFonts w:ascii="黑体" w:hAnsi="黑体" w:eastAsia="黑体"/>
          <w:highlight w:val="none"/>
        </w:rPr>
        <w:t xml:space="preserve"> </w:t>
      </w:r>
      <w:r>
        <w:rPr>
          <w:rStyle w:val="36"/>
          <w:rFonts w:hint="eastAsia" w:ascii="黑体" w:hAnsi="黑体" w:eastAsia="黑体"/>
          <w:highlight w:val="none"/>
        </w:rPr>
        <w:t>标的证券监管与保证金监控</w:t>
      </w:r>
      <w:r>
        <w:rPr>
          <w:highlight w:val="none"/>
        </w:rPr>
        <w:tab/>
      </w:r>
      <w:r>
        <w:rPr>
          <w:highlight w:val="none"/>
        </w:rPr>
        <w:fldChar w:fldCharType="begin"/>
      </w:r>
      <w:r>
        <w:rPr>
          <w:highlight w:val="none"/>
        </w:rPr>
        <w:instrText xml:space="preserve"> PAGEREF _Toc23947029 \h </w:instrText>
      </w:r>
      <w:r>
        <w:rPr>
          <w:highlight w:val="none"/>
        </w:rPr>
        <w:fldChar w:fldCharType="separate"/>
      </w:r>
      <w:r>
        <w:rPr>
          <w:highlight w:val="none"/>
        </w:rPr>
        <w:t>97</w:t>
      </w:r>
      <w:r>
        <w:rPr>
          <w:highlight w:val="none"/>
        </w:rPr>
        <w:fldChar w:fldCharType="end"/>
      </w:r>
      <w:r>
        <w:rPr>
          <w:highlight w:val="none"/>
        </w:rPr>
        <w:fldChar w:fldCharType="end"/>
      </w:r>
    </w:p>
    <w:p w14:paraId="1B5077C4">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"_Toc23947030" </w:instrText>
      </w:r>
      <w:r>
        <w:rPr>
          <w:highlight w:val="none"/>
        </w:rPr>
        <w:fldChar w:fldCharType="separate"/>
      </w:r>
      <w:r>
        <w:rPr>
          <w:rStyle w:val="36"/>
          <w:rFonts w:hint="eastAsia"/>
          <w:highlight w:val="none"/>
        </w:rPr>
        <w:t>一、标的证券监管</w:t>
      </w:r>
      <w:r>
        <w:rPr>
          <w:highlight w:val="none"/>
        </w:rPr>
        <w:tab/>
      </w:r>
      <w:r>
        <w:rPr>
          <w:highlight w:val="none"/>
        </w:rPr>
        <w:fldChar w:fldCharType="begin"/>
      </w:r>
      <w:r>
        <w:rPr>
          <w:highlight w:val="none"/>
        </w:rPr>
        <w:instrText xml:space="preserve"> PAGEREF _Toc23947030 \h </w:instrText>
      </w:r>
      <w:r>
        <w:rPr>
          <w:highlight w:val="none"/>
        </w:rPr>
        <w:fldChar w:fldCharType="separate"/>
      </w:r>
      <w:r>
        <w:rPr>
          <w:highlight w:val="none"/>
        </w:rPr>
        <w:t>97</w:t>
      </w:r>
      <w:r>
        <w:rPr>
          <w:highlight w:val="none"/>
        </w:rPr>
        <w:fldChar w:fldCharType="end"/>
      </w:r>
      <w:r>
        <w:rPr>
          <w:highlight w:val="none"/>
        </w:rPr>
        <w:fldChar w:fldCharType="end"/>
      </w:r>
    </w:p>
    <w:p w14:paraId="4CBD8EE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"_Toc23947031" </w:instrText>
      </w:r>
      <w:r>
        <w:rPr>
          <w:highlight w:val="none"/>
        </w:rPr>
        <w:fldChar w:fldCharType="separate"/>
      </w:r>
      <w:r>
        <w:rPr>
          <w:rStyle w:val="36"/>
          <w:rFonts w:hint="eastAsia"/>
          <w:highlight w:val="none"/>
        </w:rPr>
        <w:t>二、保证金监控</w:t>
      </w:r>
      <w:r>
        <w:rPr>
          <w:highlight w:val="none"/>
        </w:rPr>
        <w:tab/>
      </w:r>
      <w:r>
        <w:rPr>
          <w:highlight w:val="none"/>
        </w:rPr>
        <w:fldChar w:fldCharType="begin"/>
      </w:r>
      <w:r>
        <w:rPr>
          <w:highlight w:val="none"/>
        </w:rPr>
        <w:instrText xml:space="preserve"> PAGEREF _Toc23947031 \h </w:instrText>
      </w:r>
      <w:r>
        <w:rPr>
          <w:highlight w:val="none"/>
        </w:rPr>
        <w:fldChar w:fldCharType="separate"/>
      </w:r>
      <w:r>
        <w:rPr>
          <w:highlight w:val="none"/>
        </w:rPr>
        <w:t>97</w:t>
      </w:r>
      <w:r>
        <w:rPr>
          <w:highlight w:val="none"/>
        </w:rPr>
        <w:fldChar w:fldCharType="end"/>
      </w:r>
      <w:r>
        <w:rPr>
          <w:highlight w:val="none"/>
        </w:rPr>
        <w:fldChar w:fldCharType="end"/>
      </w:r>
    </w:p>
    <w:p w14:paraId="2D97B97D">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"_Toc23947032" </w:instrText>
      </w:r>
      <w:r>
        <w:rPr>
          <w:highlight w:val="none"/>
        </w:rPr>
        <w:fldChar w:fldCharType="separate"/>
      </w:r>
      <w:r>
        <w:rPr>
          <w:rStyle w:val="36"/>
          <w:rFonts w:hint="eastAsia" w:ascii="黑体" w:hAnsi="黑体" w:eastAsia="黑体"/>
          <w:highlight w:val="none"/>
        </w:rPr>
        <w:t>第十八章</w:t>
      </w:r>
      <w:r>
        <w:rPr>
          <w:rStyle w:val="36"/>
          <w:rFonts w:ascii="黑体" w:hAnsi="黑体" w:eastAsia="黑体"/>
          <w:highlight w:val="none"/>
        </w:rPr>
        <w:t xml:space="preserve"> </w:t>
      </w:r>
      <w:r>
        <w:rPr>
          <w:rStyle w:val="36"/>
          <w:rFonts w:hint="eastAsia" w:ascii="黑体" w:hAnsi="黑体" w:eastAsia="黑体"/>
          <w:highlight w:val="none"/>
        </w:rPr>
        <w:t>投资者教育与客户投诉处理</w:t>
      </w:r>
      <w:r>
        <w:rPr>
          <w:highlight w:val="none"/>
        </w:rPr>
        <w:tab/>
      </w:r>
      <w:r>
        <w:rPr>
          <w:highlight w:val="none"/>
        </w:rPr>
        <w:fldChar w:fldCharType="begin"/>
      </w:r>
      <w:r>
        <w:rPr>
          <w:highlight w:val="none"/>
        </w:rPr>
        <w:instrText xml:space="preserve"> PAGEREF _Toc23947032 \h </w:instrText>
      </w:r>
      <w:r>
        <w:rPr>
          <w:highlight w:val="none"/>
        </w:rPr>
        <w:fldChar w:fldCharType="separate"/>
      </w:r>
      <w:r>
        <w:rPr>
          <w:highlight w:val="none"/>
        </w:rPr>
        <w:t>98</w:t>
      </w:r>
      <w:r>
        <w:rPr>
          <w:highlight w:val="none"/>
        </w:rPr>
        <w:fldChar w:fldCharType="end"/>
      </w:r>
      <w:r>
        <w:rPr>
          <w:highlight w:val="none"/>
        </w:rPr>
        <w:fldChar w:fldCharType="end"/>
      </w:r>
    </w:p>
    <w:p w14:paraId="32771E31">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"_Toc23947033" </w:instrText>
      </w:r>
      <w:r>
        <w:rPr>
          <w:highlight w:val="none"/>
        </w:rPr>
        <w:fldChar w:fldCharType="separate"/>
      </w:r>
      <w:r>
        <w:rPr>
          <w:rStyle w:val="36"/>
          <w:rFonts w:hint="eastAsia"/>
          <w:highlight w:val="none"/>
        </w:rPr>
        <w:t>一、投资者教育</w:t>
      </w:r>
      <w:r>
        <w:rPr>
          <w:highlight w:val="none"/>
        </w:rPr>
        <w:tab/>
      </w:r>
      <w:r>
        <w:rPr>
          <w:highlight w:val="none"/>
        </w:rPr>
        <w:fldChar w:fldCharType="begin"/>
      </w:r>
      <w:r>
        <w:rPr>
          <w:highlight w:val="none"/>
        </w:rPr>
        <w:instrText xml:space="preserve"> PAGEREF _Toc23947033 \h </w:instrText>
      </w:r>
      <w:r>
        <w:rPr>
          <w:highlight w:val="none"/>
        </w:rPr>
        <w:fldChar w:fldCharType="separate"/>
      </w:r>
      <w:r>
        <w:rPr>
          <w:highlight w:val="none"/>
        </w:rPr>
        <w:t>98</w:t>
      </w:r>
      <w:r>
        <w:rPr>
          <w:highlight w:val="none"/>
        </w:rPr>
        <w:fldChar w:fldCharType="end"/>
      </w:r>
      <w:r>
        <w:rPr>
          <w:highlight w:val="none"/>
        </w:rPr>
        <w:fldChar w:fldCharType="end"/>
      </w:r>
    </w:p>
    <w:p w14:paraId="3535B194">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"_Toc23947034" </w:instrText>
      </w:r>
      <w:r>
        <w:rPr>
          <w:highlight w:val="none"/>
        </w:rPr>
        <w:fldChar w:fldCharType="separate"/>
      </w:r>
      <w:r>
        <w:rPr>
          <w:rStyle w:val="36"/>
          <w:rFonts w:hint="eastAsia"/>
          <w:highlight w:val="none"/>
        </w:rPr>
        <w:t>二、客户投诉处理</w:t>
      </w:r>
      <w:r>
        <w:rPr>
          <w:highlight w:val="none"/>
        </w:rPr>
        <w:tab/>
      </w:r>
      <w:r>
        <w:rPr>
          <w:highlight w:val="none"/>
        </w:rPr>
        <w:fldChar w:fldCharType="begin"/>
      </w:r>
      <w:r>
        <w:rPr>
          <w:highlight w:val="none"/>
        </w:rPr>
        <w:instrText xml:space="preserve"> PAGEREF _Toc23947034 \h </w:instrText>
      </w:r>
      <w:r>
        <w:rPr>
          <w:highlight w:val="none"/>
        </w:rPr>
        <w:fldChar w:fldCharType="separate"/>
      </w:r>
      <w:r>
        <w:rPr>
          <w:highlight w:val="none"/>
        </w:rPr>
        <w:t>99</w:t>
      </w:r>
      <w:r>
        <w:rPr>
          <w:highlight w:val="none"/>
        </w:rPr>
        <w:fldChar w:fldCharType="end"/>
      </w:r>
      <w:r>
        <w:rPr>
          <w:highlight w:val="none"/>
        </w:rPr>
        <w:fldChar w:fldCharType="end"/>
      </w:r>
    </w:p>
    <w:p w14:paraId="308B10EA">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"_Toc23947035" </w:instrText>
      </w:r>
      <w:r>
        <w:rPr>
          <w:highlight w:val="none"/>
        </w:rPr>
        <w:fldChar w:fldCharType="separate"/>
      </w:r>
      <w:r>
        <w:rPr>
          <w:rStyle w:val="36"/>
          <w:rFonts w:hint="eastAsia" w:ascii="黑体" w:hAnsi="黑体" w:eastAsia="黑体"/>
          <w:highlight w:val="none"/>
        </w:rPr>
        <w:t>第十九章</w:t>
      </w:r>
      <w:r>
        <w:rPr>
          <w:rStyle w:val="36"/>
          <w:rFonts w:ascii="黑体" w:hAnsi="黑体" w:eastAsia="黑体"/>
          <w:highlight w:val="none"/>
        </w:rPr>
        <w:t xml:space="preserve"> </w:t>
      </w:r>
      <w:r>
        <w:rPr>
          <w:rStyle w:val="36"/>
          <w:rFonts w:hint="eastAsia" w:ascii="黑体" w:hAnsi="黑体" w:eastAsia="黑体"/>
          <w:highlight w:val="none"/>
        </w:rPr>
        <w:t>股票期权介绍业务</w:t>
      </w:r>
      <w:r>
        <w:rPr>
          <w:highlight w:val="none"/>
        </w:rPr>
        <w:tab/>
      </w:r>
      <w:r>
        <w:rPr>
          <w:highlight w:val="none"/>
        </w:rPr>
        <w:fldChar w:fldCharType="begin"/>
      </w:r>
      <w:r>
        <w:rPr>
          <w:highlight w:val="none"/>
        </w:rPr>
        <w:instrText xml:space="preserve"> PAGEREF _Toc23947035 \h </w:instrText>
      </w:r>
      <w:r>
        <w:rPr>
          <w:highlight w:val="none"/>
        </w:rPr>
        <w:fldChar w:fldCharType="separate"/>
      </w:r>
      <w:r>
        <w:rPr>
          <w:highlight w:val="none"/>
        </w:rPr>
        <w:t>102</w:t>
      </w:r>
      <w:r>
        <w:rPr>
          <w:highlight w:val="none"/>
        </w:rPr>
        <w:fldChar w:fldCharType="end"/>
      </w:r>
      <w:r>
        <w:rPr>
          <w:highlight w:val="none"/>
        </w:rPr>
        <w:fldChar w:fldCharType="end"/>
      </w:r>
    </w:p>
    <w:p w14:paraId="30C968FE">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"_Toc23947036" </w:instrText>
      </w:r>
      <w:r>
        <w:rPr>
          <w:highlight w:val="none"/>
        </w:rPr>
        <w:fldChar w:fldCharType="separate"/>
      </w:r>
      <w:r>
        <w:rPr>
          <w:rStyle w:val="36"/>
          <w:rFonts w:hint="eastAsia"/>
          <w:highlight w:val="none"/>
        </w:rPr>
        <w:t>一、基本要求</w:t>
      </w:r>
      <w:r>
        <w:rPr>
          <w:highlight w:val="none"/>
        </w:rPr>
        <w:tab/>
      </w:r>
      <w:r>
        <w:rPr>
          <w:highlight w:val="none"/>
        </w:rPr>
        <w:fldChar w:fldCharType="begin"/>
      </w:r>
      <w:r>
        <w:rPr>
          <w:highlight w:val="none"/>
        </w:rPr>
        <w:instrText xml:space="preserve"> PAGEREF _Toc23947036 \h </w:instrText>
      </w:r>
      <w:r>
        <w:rPr>
          <w:highlight w:val="none"/>
        </w:rPr>
        <w:fldChar w:fldCharType="separate"/>
      </w:r>
      <w:r>
        <w:rPr>
          <w:highlight w:val="none"/>
        </w:rPr>
        <w:t>102</w:t>
      </w:r>
      <w:r>
        <w:rPr>
          <w:highlight w:val="none"/>
        </w:rPr>
        <w:fldChar w:fldCharType="end"/>
      </w:r>
      <w:r>
        <w:rPr>
          <w:highlight w:val="none"/>
        </w:rPr>
        <w:fldChar w:fldCharType="end"/>
      </w:r>
    </w:p>
    <w:p w14:paraId="7B63F5BE">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"_Toc23947037" </w:instrText>
      </w:r>
      <w:r>
        <w:rPr>
          <w:highlight w:val="none"/>
        </w:rPr>
        <w:fldChar w:fldCharType="separate"/>
      </w:r>
      <w:r>
        <w:rPr>
          <w:rStyle w:val="36"/>
          <w:rFonts w:hint="eastAsia"/>
          <w:highlight w:val="none"/>
        </w:rPr>
        <w:t>二、介绍业务协议</w:t>
      </w:r>
      <w:r>
        <w:rPr>
          <w:highlight w:val="none"/>
        </w:rPr>
        <w:tab/>
      </w:r>
      <w:r>
        <w:rPr>
          <w:highlight w:val="none"/>
        </w:rPr>
        <w:fldChar w:fldCharType="begin"/>
      </w:r>
      <w:r>
        <w:rPr>
          <w:highlight w:val="none"/>
        </w:rPr>
        <w:instrText xml:space="preserve"> PAGEREF _Toc23947037 \h </w:instrText>
      </w:r>
      <w:r>
        <w:rPr>
          <w:highlight w:val="none"/>
        </w:rPr>
        <w:fldChar w:fldCharType="separate"/>
      </w:r>
      <w:r>
        <w:rPr>
          <w:highlight w:val="none"/>
        </w:rPr>
        <w:t>102</w:t>
      </w:r>
      <w:r>
        <w:rPr>
          <w:highlight w:val="none"/>
        </w:rPr>
        <w:fldChar w:fldCharType="end"/>
      </w:r>
      <w:r>
        <w:rPr>
          <w:highlight w:val="none"/>
        </w:rPr>
        <w:fldChar w:fldCharType="end"/>
      </w:r>
    </w:p>
    <w:p w14:paraId="4A08C0AE">
      <w:pPr>
        <w:pStyle w:val="25"/>
        <w:tabs>
          <w:tab w:val="right" w:leader="dot" w:pos="8296"/>
        </w:tabs>
        <w:rPr>
          <w:rFonts w:asciiTheme="minorHAnsi" w:hAnsiTheme="minorHAnsi" w:eastAsiaTheme="minorEastAsia" w:cstheme="minorBidi"/>
          <w:highlight w:val="none"/>
        </w:rPr>
      </w:pPr>
      <w:r>
        <w:rPr>
          <w:highlight w:val="none"/>
        </w:rPr>
        <w:fldChar w:fldCharType="begin"/>
      </w:r>
      <w:r>
        <w:rPr>
          <w:highlight w:val="none"/>
        </w:rPr>
        <w:instrText xml:space="preserve"> HYPERLINK \l "_Toc23947038" </w:instrText>
      </w:r>
      <w:r>
        <w:rPr>
          <w:highlight w:val="none"/>
        </w:rPr>
        <w:fldChar w:fldCharType="separate"/>
      </w:r>
      <w:r>
        <w:rPr>
          <w:rStyle w:val="36"/>
          <w:rFonts w:hint="eastAsia"/>
          <w:highlight w:val="none"/>
        </w:rPr>
        <w:t>三、介绍业务规则</w:t>
      </w:r>
      <w:r>
        <w:rPr>
          <w:highlight w:val="none"/>
        </w:rPr>
        <w:tab/>
      </w:r>
      <w:r>
        <w:rPr>
          <w:highlight w:val="none"/>
        </w:rPr>
        <w:fldChar w:fldCharType="begin"/>
      </w:r>
      <w:r>
        <w:rPr>
          <w:highlight w:val="none"/>
        </w:rPr>
        <w:instrText xml:space="preserve"> PAGEREF _Toc23947038 \h </w:instrText>
      </w:r>
      <w:r>
        <w:rPr>
          <w:highlight w:val="none"/>
        </w:rPr>
        <w:fldChar w:fldCharType="separate"/>
      </w:r>
      <w:r>
        <w:rPr>
          <w:highlight w:val="none"/>
        </w:rPr>
        <w:t>103</w:t>
      </w:r>
      <w:r>
        <w:rPr>
          <w:highlight w:val="none"/>
        </w:rPr>
        <w:fldChar w:fldCharType="end"/>
      </w:r>
      <w:r>
        <w:rPr>
          <w:highlight w:val="none"/>
        </w:rPr>
        <w:fldChar w:fldCharType="end"/>
      </w:r>
    </w:p>
    <w:p w14:paraId="6EF37740">
      <w:pPr>
        <w:pStyle w:val="25"/>
        <w:tabs>
          <w:tab w:val="right" w:leader="dot" w:pos="8296"/>
        </w:tabs>
        <w:rPr>
          <w:rFonts w:hint="eastAsia" w:asciiTheme="minorHAnsi" w:hAnsiTheme="minorHAnsi" w:eastAsiaTheme="minorEastAsia" w:cstheme="minorBidi"/>
          <w:highlight w:val="none"/>
        </w:rPr>
      </w:pPr>
      <w:r>
        <w:rPr>
          <w:rFonts w:hint="eastAsia"/>
          <w:highlight w:val="none"/>
        </w:rPr>
        <w:fldChar w:fldCharType="begin"/>
      </w:r>
      <w:r>
        <w:rPr>
          <w:rFonts w:hint="eastAsia"/>
          <w:highlight w:val="none"/>
        </w:rPr>
        <w:instrText xml:space="preserve"> HYPERLINK \l "_Toc23947039" </w:instrText>
      </w:r>
      <w:r>
        <w:rPr>
          <w:rFonts w:hint="eastAsia"/>
          <w:highlight w:val="none"/>
        </w:rPr>
        <w:fldChar w:fldCharType="separate"/>
      </w:r>
      <w:r>
        <w:rPr>
          <w:rStyle w:val="33"/>
          <w:rFonts w:hint="default"/>
          <w:highlight w:val="none"/>
        </w:rPr>
        <w:t>附件一</w:t>
      </w:r>
      <w:r>
        <w:rPr>
          <w:highlight w:val="none"/>
        </w:rPr>
        <w:tab/>
      </w:r>
      <w:r>
        <w:rPr>
          <w:rFonts w:hint="eastAsia"/>
          <w:highlight w:val="none"/>
        </w:rPr>
        <w:fldChar w:fldCharType="begin"/>
      </w:r>
      <w:r>
        <w:rPr>
          <w:rFonts w:hint="eastAsia"/>
          <w:highlight w:val="none"/>
        </w:rPr>
        <w:instrText xml:space="preserve"> PAGEREF _Toc23947039 \h </w:instrText>
      </w:r>
      <w:r>
        <w:rPr>
          <w:rFonts w:hint="eastAsia"/>
          <w:highlight w:val="none"/>
        </w:rPr>
        <w:fldChar w:fldCharType="separate"/>
      </w:r>
      <w:r>
        <w:rPr>
          <w:rFonts w:hint="eastAsia"/>
          <w:highlight w:val="none"/>
        </w:rPr>
        <w:t>105</w:t>
      </w:r>
      <w:r>
        <w:rPr>
          <w:rFonts w:hint="eastAsia"/>
          <w:highlight w:val="none"/>
        </w:rPr>
        <w:fldChar w:fldCharType="end"/>
      </w:r>
      <w:r>
        <w:rPr>
          <w:rFonts w:hint="eastAsia"/>
          <w:highlight w:val="none"/>
        </w:rPr>
        <w:fldChar w:fldCharType="end"/>
      </w:r>
    </w:p>
    <w:p w14:paraId="5FFC6691">
      <w:pPr>
        <w:pStyle w:val="25"/>
        <w:tabs>
          <w:tab w:val="right" w:leader="dot" w:pos="8296"/>
        </w:tabs>
        <w:rPr>
          <w:rFonts w:hint="eastAsia" w:asciiTheme="minorHAnsi" w:hAnsiTheme="minorHAnsi" w:eastAsiaTheme="minorEastAsia" w:cstheme="minorBidi"/>
          <w:highlight w:val="none"/>
        </w:rPr>
      </w:pPr>
      <w:r>
        <w:rPr>
          <w:rFonts w:hint="eastAsia"/>
          <w:highlight w:val="none"/>
        </w:rPr>
        <w:fldChar w:fldCharType="begin"/>
      </w:r>
      <w:r>
        <w:rPr>
          <w:rFonts w:hint="eastAsia"/>
          <w:highlight w:val="none"/>
        </w:rPr>
        <w:instrText xml:space="preserve"> HYPERLINK \l "_Toc23947040" </w:instrText>
      </w:r>
      <w:r>
        <w:rPr>
          <w:rFonts w:hint="eastAsia"/>
          <w:highlight w:val="none"/>
        </w:rPr>
        <w:fldChar w:fldCharType="separate"/>
      </w:r>
      <w:r>
        <w:rPr>
          <w:rStyle w:val="33"/>
          <w:rFonts w:hint="default"/>
          <w:highlight w:val="none"/>
        </w:rPr>
        <w:t>附件二</w:t>
      </w:r>
      <w:r>
        <w:rPr>
          <w:rFonts w:hint="eastAsia"/>
          <w:highlight w:val="none"/>
        </w:rPr>
        <w:tab/>
      </w:r>
      <w:r>
        <w:rPr>
          <w:rFonts w:hint="eastAsia"/>
          <w:highlight w:val="none"/>
        </w:rPr>
        <w:fldChar w:fldCharType="begin"/>
      </w:r>
      <w:r>
        <w:rPr>
          <w:rFonts w:hint="eastAsia"/>
          <w:highlight w:val="none"/>
        </w:rPr>
        <w:instrText xml:space="preserve"> PAGEREF _Toc23947040 \h </w:instrText>
      </w:r>
      <w:r>
        <w:rPr>
          <w:rFonts w:hint="eastAsia"/>
          <w:highlight w:val="none"/>
        </w:rPr>
        <w:fldChar w:fldCharType="separate"/>
      </w:r>
      <w:r>
        <w:rPr>
          <w:rFonts w:hint="eastAsia"/>
          <w:highlight w:val="none"/>
        </w:rPr>
        <w:t>12</w:t>
      </w:r>
      <w:r>
        <w:rPr>
          <w:rFonts w:hint="eastAsia"/>
          <w:highlight w:val="none"/>
          <w:lang w:val="en-US" w:eastAsia="zh-CN"/>
        </w:rPr>
        <w:t>7</w:t>
      </w:r>
      <w:r>
        <w:rPr>
          <w:rFonts w:hint="eastAsia"/>
          <w:highlight w:val="none"/>
        </w:rPr>
        <w:fldChar w:fldCharType="end"/>
      </w:r>
      <w:r>
        <w:rPr>
          <w:rFonts w:hint="eastAsia"/>
          <w:highlight w:val="none"/>
        </w:rPr>
        <w:fldChar w:fldCharType="end"/>
      </w:r>
    </w:p>
    <w:p w14:paraId="059C9DEF">
      <w:pPr>
        <w:pStyle w:val="25"/>
        <w:tabs>
          <w:tab w:val="right" w:leader="dot" w:pos="8296"/>
        </w:tabs>
        <w:rPr>
          <w:rFonts w:hint="default" w:eastAsia="宋体" w:asciiTheme="minorHAnsi" w:hAnsiTheme="minorHAnsi" w:cstheme="minorBidi"/>
          <w:highlight w:val="none"/>
          <w:lang w:val="en-US" w:eastAsia="zh-CN"/>
        </w:rPr>
      </w:pPr>
      <w:r>
        <w:rPr>
          <w:rFonts w:hint="eastAsia"/>
          <w:highlight w:val="none"/>
        </w:rPr>
        <w:fldChar w:fldCharType="begin"/>
      </w:r>
      <w:r>
        <w:rPr>
          <w:rFonts w:hint="eastAsia"/>
          <w:highlight w:val="none"/>
        </w:rPr>
        <w:instrText xml:space="preserve"> HYPERLINK \l "_Toc23947041" </w:instrText>
      </w:r>
      <w:r>
        <w:rPr>
          <w:rFonts w:hint="eastAsia"/>
          <w:highlight w:val="none"/>
        </w:rPr>
        <w:fldChar w:fldCharType="separate"/>
      </w:r>
      <w:r>
        <w:rPr>
          <w:rStyle w:val="33"/>
          <w:rFonts w:hint="default"/>
          <w:highlight w:val="none"/>
        </w:rPr>
        <w:t>附件三</w:t>
      </w:r>
      <w:r>
        <w:rPr>
          <w:rFonts w:hint="eastAsia"/>
          <w:highlight w:val="none"/>
        </w:rPr>
        <w:tab/>
      </w:r>
      <w:r>
        <w:rPr>
          <w:rFonts w:hint="eastAsia"/>
          <w:highlight w:val="none"/>
        </w:rPr>
        <w:fldChar w:fldCharType="begin"/>
      </w:r>
      <w:r>
        <w:rPr>
          <w:rFonts w:hint="eastAsia"/>
          <w:highlight w:val="none"/>
        </w:rPr>
        <w:instrText xml:space="preserve"> PAGEREF _Toc23947041 \h </w:instrText>
      </w:r>
      <w:r>
        <w:rPr>
          <w:rFonts w:hint="eastAsia"/>
          <w:highlight w:val="none"/>
        </w:rPr>
        <w:fldChar w:fldCharType="separate"/>
      </w:r>
      <w:r>
        <w:rPr>
          <w:rFonts w:hint="eastAsia"/>
          <w:highlight w:val="none"/>
        </w:rPr>
        <w:t>12</w:t>
      </w:r>
      <w:r>
        <w:rPr>
          <w:rFonts w:hint="eastAsia"/>
          <w:highlight w:val="none"/>
        </w:rPr>
        <w:fldChar w:fldCharType="end"/>
      </w:r>
      <w:r>
        <w:rPr>
          <w:rFonts w:hint="eastAsia"/>
          <w:highlight w:val="none"/>
        </w:rPr>
        <w:fldChar w:fldCharType="end"/>
      </w:r>
      <w:r>
        <w:rPr>
          <w:rFonts w:hint="eastAsia"/>
          <w:highlight w:val="none"/>
          <w:lang w:val="en-US" w:eastAsia="zh-CN"/>
        </w:rPr>
        <w:t>8</w:t>
      </w:r>
    </w:p>
    <w:p w14:paraId="7C52A415">
      <w:pPr>
        <w:pStyle w:val="25"/>
        <w:tabs>
          <w:tab w:val="right" w:leader="dot" w:pos="8296"/>
        </w:tabs>
        <w:rPr>
          <w:rFonts w:hint="eastAsia" w:eastAsia="宋体" w:asciiTheme="minorHAnsi" w:hAnsiTheme="minorHAnsi" w:cstheme="minorBidi"/>
          <w:highlight w:val="none"/>
          <w:lang w:val="en-US" w:eastAsia="zh-CN"/>
        </w:rPr>
      </w:pPr>
      <w:r>
        <w:rPr>
          <w:rFonts w:hint="eastAsia"/>
          <w:highlight w:val="none"/>
        </w:rPr>
        <w:fldChar w:fldCharType="begin"/>
      </w:r>
      <w:r>
        <w:rPr>
          <w:rFonts w:hint="eastAsia"/>
          <w:highlight w:val="none"/>
        </w:rPr>
        <w:instrText xml:space="preserve"> HYPERLINK \l "_Toc23947042" </w:instrText>
      </w:r>
      <w:r>
        <w:rPr>
          <w:rFonts w:hint="eastAsia"/>
          <w:highlight w:val="none"/>
        </w:rPr>
        <w:fldChar w:fldCharType="separate"/>
      </w:r>
      <w:r>
        <w:rPr>
          <w:rStyle w:val="33"/>
          <w:rFonts w:hint="default"/>
          <w:highlight w:val="none"/>
        </w:rPr>
        <w:t>附件四</w:t>
      </w:r>
      <w:r>
        <w:rPr>
          <w:rFonts w:hint="eastAsia"/>
          <w:highlight w:val="none"/>
        </w:rPr>
        <w:tab/>
      </w:r>
      <w:r>
        <w:rPr>
          <w:rFonts w:hint="eastAsia"/>
          <w:highlight w:val="none"/>
        </w:rPr>
        <w:fldChar w:fldCharType="begin"/>
      </w:r>
      <w:r>
        <w:rPr>
          <w:rFonts w:hint="eastAsia"/>
          <w:highlight w:val="none"/>
        </w:rPr>
        <w:instrText xml:space="preserve"> PAGEREF _Toc23947042 \h </w:instrText>
      </w:r>
      <w:r>
        <w:rPr>
          <w:rFonts w:hint="eastAsia"/>
          <w:highlight w:val="none"/>
        </w:rPr>
        <w:fldChar w:fldCharType="separate"/>
      </w:r>
      <w:r>
        <w:rPr>
          <w:rFonts w:hint="eastAsia"/>
          <w:b w:val="0"/>
          <w:highlight w:val="none"/>
          <w:lang w:val="en-US" w:eastAsia="zh-CN"/>
        </w:rPr>
        <w:t>129</w:t>
      </w:r>
      <w:r>
        <w:rPr>
          <w:rFonts w:hint="eastAsia"/>
          <w:highlight w:val="none"/>
        </w:rPr>
        <w:fldChar w:fldCharType="end"/>
      </w:r>
      <w:r>
        <w:rPr>
          <w:rFonts w:hint="eastAsia"/>
          <w:highlight w:val="none"/>
        </w:rPr>
        <w:fldChar w:fldCharType="end"/>
      </w:r>
    </w:p>
    <w:p w14:paraId="25BDC133">
      <w:pPr>
        <w:pStyle w:val="25"/>
        <w:tabs>
          <w:tab w:val="right" w:leader="dot" w:pos="8296"/>
        </w:tabs>
        <w:rPr>
          <w:rFonts w:hint="eastAsia" w:eastAsia="宋体" w:asciiTheme="minorHAnsi" w:hAnsiTheme="minorHAnsi" w:cstheme="minorBidi"/>
          <w:highlight w:val="none"/>
          <w:lang w:val="en-US" w:eastAsia="zh-CN"/>
        </w:rPr>
      </w:pPr>
      <w:r>
        <w:rPr>
          <w:rFonts w:hint="eastAsia"/>
          <w:highlight w:val="none"/>
        </w:rPr>
        <w:fldChar w:fldCharType="begin"/>
      </w:r>
      <w:r>
        <w:rPr>
          <w:rFonts w:hint="eastAsia"/>
          <w:highlight w:val="none"/>
        </w:rPr>
        <w:instrText xml:space="preserve"> HYPERLINK \l "_Toc23947044" </w:instrText>
      </w:r>
      <w:r>
        <w:rPr>
          <w:rFonts w:hint="eastAsia"/>
          <w:highlight w:val="none"/>
        </w:rPr>
        <w:fldChar w:fldCharType="separate"/>
      </w:r>
      <w:r>
        <w:rPr>
          <w:rStyle w:val="33"/>
          <w:rFonts w:hint="default"/>
          <w:highlight w:val="none"/>
        </w:rPr>
        <w:t>附件五</w:t>
      </w:r>
      <w:r>
        <w:rPr>
          <w:rFonts w:hint="eastAsia"/>
          <w:highlight w:val="none"/>
        </w:rPr>
        <w:tab/>
      </w:r>
      <w:r>
        <w:rPr>
          <w:rFonts w:hint="eastAsia"/>
          <w:highlight w:val="none"/>
        </w:rPr>
        <w:fldChar w:fldCharType="begin"/>
      </w:r>
      <w:r>
        <w:rPr>
          <w:rFonts w:hint="eastAsia"/>
          <w:highlight w:val="none"/>
        </w:rPr>
        <w:instrText xml:space="preserve"> PAGEREF _Toc23947044 \h </w:instrText>
      </w:r>
      <w:r>
        <w:rPr>
          <w:rFonts w:hint="eastAsia"/>
          <w:highlight w:val="none"/>
        </w:rPr>
        <w:fldChar w:fldCharType="separate"/>
      </w:r>
      <w:r>
        <w:rPr>
          <w:rFonts w:hint="eastAsia"/>
          <w:highlight w:val="none"/>
        </w:rPr>
        <w:t>130</w:t>
      </w:r>
      <w:r>
        <w:rPr>
          <w:rFonts w:hint="eastAsia"/>
          <w:highlight w:val="none"/>
        </w:rPr>
        <w:fldChar w:fldCharType="end"/>
      </w:r>
      <w:r>
        <w:rPr>
          <w:rFonts w:hint="eastAsia"/>
          <w:highlight w:val="none"/>
        </w:rPr>
        <w:fldChar w:fldCharType="end"/>
      </w:r>
    </w:p>
    <w:p w14:paraId="431BC4F2">
      <w:pPr>
        <w:pStyle w:val="25"/>
        <w:tabs>
          <w:tab w:val="right" w:leader="dot" w:pos="8296"/>
        </w:tabs>
        <w:rPr>
          <w:rStyle w:val="36"/>
          <w:rFonts w:hint="default" w:ascii="黑体" w:hAnsi="黑体" w:eastAsia="宋体" w:cstheme="minorBidi"/>
          <w:highlight w:val="none"/>
          <w:lang w:val="en-US"/>
        </w:rPr>
      </w:pPr>
      <w:r>
        <w:rPr>
          <w:rFonts w:hint="eastAsia"/>
          <w:highlight w:val="none"/>
        </w:rPr>
        <w:fldChar w:fldCharType="begin"/>
      </w:r>
      <w:r>
        <w:rPr>
          <w:rFonts w:hint="eastAsia"/>
          <w:highlight w:val="none"/>
        </w:rPr>
        <w:instrText xml:space="preserve"> HYPERLINK \l "_Toc23947045" </w:instrText>
      </w:r>
      <w:r>
        <w:rPr>
          <w:rFonts w:hint="eastAsia"/>
          <w:highlight w:val="none"/>
        </w:rPr>
        <w:fldChar w:fldCharType="separate"/>
      </w:r>
      <w:r>
        <w:rPr>
          <w:rStyle w:val="33"/>
          <w:rFonts w:hint="default"/>
          <w:highlight w:val="none"/>
        </w:rPr>
        <w:t>附件六</w:t>
      </w:r>
      <w:r>
        <w:rPr>
          <w:rFonts w:hint="eastAsia"/>
          <w:highlight w:val="none"/>
        </w:rPr>
        <w:tab/>
      </w:r>
      <w:r>
        <w:rPr>
          <w:rFonts w:hint="eastAsia"/>
          <w:highlight w:val="none"/>
        </w:rPr>
        <w:fldChar w:fldCharType="begin"/>
      </w:r>
      <w:r>
        <w:rPr>
          <w:rFonts w:hint="eastAsia"/>
          <w:highlight w:val="none"/>
        </w:rPr>
        <w:instrText xml:space="preserve"> PAGEREF _Toc23947045 \h </w:instrText>
      </w:r>
      <w:r>
        <w:rPr>
          <w:rFonts w:hint="eastAsia"/>
          <w:highlight w:val="none"/>
        </w:rPr>
        <w:fldChar w:fldCharType="separate"/>
      </w:r>
      <w:r>
        <w:rPr>
          <w:rFonts w:hint="eastAsia"/>
          <w:highlight w:val="none"/>
        </w:rPr>
        <w:t>1</w:t>
      </w:r>
      <w:r>
        <w:rPr>
          <w:rFonts w:hint="eastAsia"/>
          <w:highlight w:val="none"/>
        </w:rPr>
        <w:fldChar w:fldCharType="end"/>
      </w:r>
      <w:r>
        <w:rPr>
          <w:rFonts w:hint="eastAsia"/>
          <w:highlight w:val="none"/>
        </w:rPr>
        <w:fldChar w:fldCharType="end"/>
      </w:r>
      <w:r>
        <w:rPr>
          <w:rFonts w:hint="eastAsia"/>
          <w:highlight w:val="none"/>
          <w:lang w:val="en-US" w:eastAsia="zh-CN"/>
        </w:rPr>
        <w:t>32</w:t>
      </w:r>
    </w:p>
    <w:p w14:paraId="1DF43FC0">
      <w:pPr>
        <w:pStyle w:val="25"/>
        <w:tabs>
          <w:tab w:val="right" w:leader="dot" w:pos="8296"/>
        </w:tabs>
        <w:rPr>
          <w:rFonts w:hint="eastAsia"/>
          <w:highlight w:val="none"/>
        </w:rPr>
      </w:pPr>
      <w:r>
        <w:rPr>
          <w:rFonts w:hint="eastAsia"/>
          <w:highlight w:val="none"/>
        </w:rPr>
        <w:fldChar w:fldCharType="end"/>
      </w:r>
    </w:p>
    <w:p w14:paraId="46F3FCFC">
      <w:pPr>
        <w:rPr>
          <w:rFonts w:hint="eastAsia"/>
        </w:rPr>
        <w:sectPr>
          <w:headerReference r:id="rId5" w:type="first"/>
          <w:headerReference r:id="rId4" w:type="default"/>
          <w:footerReference r:id="rId6" w:type="default"/>
          <w:pgSz w:w="11906" w:h="16838"/>
          <w:pgMar w:top="1440" w:right="1800" w:bottom="1440" w:left="1800" w:header="851" w:footer="992" w:gutter="0"/>
          <w:cols w:space="720" w:num="1"/>
          <w:titlePg/>
          <w:docGrid w:type="lines" w:linePitch="312" w:charSpace="0"/>
        </w:sectPr>
      </w:pPr>
    </w:p>
    <w:p w14:paraId="62099F7C">
      <w:pPr>
        <w:pStyle w:val="4"/>
        <w:jc w:val="center"/>
        <w:rPr>
          <w:rFonts w:hint="default" w:ascii="Times New Roman" w:hAnsi="Times New Roman" w:eastAsia="黑体"/>
          <w:sz w:val="32"/>
          <w:szCs w:val="32"/>
        </w:rPr>
      </w:pPr>
      <w:bookmarkStart w:id="0" w:name="_Toc23947127"/>
      <w:bookmarkStart w:id="1" w:name="_Toc215740270"/>
      <w:bookmarkStart w:id="2" w:name="_Toc7983"/>
      <w:bookmarkStart w:id="3" w:name="_Toc29381"/>
      <w:bookmarkStart w:id="4" w:name="_Toc23946955"/>
      <w:bookmarkStart w:id="5" w:name="_Toc5087"/>
      <w:bookmarkStart w:id="6" w:name="_Toc408665026"/>
      <w:bookmarkStart w:id="7" w:name="_Toc19590"/>
      <w:bookmarkStart w:id="8" w:name="_Toc408749898"/>
      <w:r>
        <w:rPr>
          <w:rFonts w:hint="default" w:ascii="Times New Roman" w:hAnsi="Times New Roman" w:eastAsia="黑体"/>
          <w:sz w:val="32"/>
          <w:szCs w:val="32"/>
          <w:lang w:eastAsia="zh-CN"/>
        </w:rPr>
        <w:t>期货</w:t>
      </w:r>
      <w:r>
        <w:rPr>
          <w:rFonts w:hint="default" w:ascii="Times New Roman" w:hAnsi="Times New Roman" w:eastAsia="黑体"/>
          <w:sz w:val="32"/>
          <w:szCs w:val="32"/>
        </w:rPr>
        <w:t>公司股票期权经纪业务指南</w:t>
      </w:r>
      <w:bookmarkEnd w:id="0"/>
      <w:bookmarkEnd w:id="1"/>
    </w:p>
    <w:p w14:paraId="11BA19E3">
      <w:pPr>
        <w:pStyle w:val="4"/>
        <w:jc w:val="center"/>
        <w:outlineLvl w:val="0"/>
        <w:rPr>
          <w:rFonts w:ascii="Times New Roman" w:hAnsi="Times New Roman" w:eastAsia="黑体"/>
          <w:b/>
          <w:bCs/>
          <w:sz w:val="32"/>
          <w:szCs w:val="32"/>
        </w:rPr>
      </w:pPr>
      <w:r>
        <w:rPr>
          <w:rFonts w:hint="default" w:ascii="Times New Roman" w:hAnsi="Times New Roman" w:eastAsia="黑体"/>
          <w:b/>
          <w:bCs/>
          <w:sz w:val="32"/>
          <w:szCs w:val="32"/>
        </w:rPr>
        <w:t>说明及声明</w:t>
      </w:r>
      <w:bookmarkEnd w:id="2"/>
      <w:bookmarkEnd w:id="3"/>
      <w:bookmarkEnd w:id="4"/>
      <w:bookmarkEnd w:id="5"/>
      <w:bookmarkEnd w:id="6"/>
      <w:bookmarkEnd w:id="7"/>
      <w:bookmarkEnd w:id="8"/>
    </w:p>
    <w:p w14:paraId="5DB903B5">
      <w:pPr>
        <w:ind w:firstLine="529" w:firstLineChars="189"/>
        <w:rPr>
          <w:rFonts w:ascii="仿宋_GB2312" w:hAnsi="宋体" w:eastAsia="仿宋_GB2312"/>
          <w:sz w:val="28"/>
          <w:szCs w:val="28"/>
        </w:rPr>
      </w:pPr>
      <w:r>
        <w:rPr>
          <w:rFonts w:hint="eastAsia" w:ascii="仿宋_GB2312" w:hAnsi="宋体" w:eastAsia="仿宋_GB2312"/>
          <w:sz w:val="28"/>
          <w:szCs w:val="28"/>
        </w:rPr>
        <w:t>为便于期货公司参与上海证券交易所（以下简称本所）股票期权业务，规范开展股票期权经纪业务，有效防范业务风险，根据《上海证券交易所股票期权试点交易规则》</w:t>
      </w:r>
      <w:r>
        <w:rPr>
          <w:rFonts w:hint="eastAsia" w:ascii="仿宋_GB2312" w:hAnsi="宋体" w:eastAsia="仿宋_GB2312"/>
          <w:sz w:val="28"/>
          <w:szCs w:val="28"/>
          <w:lang w:eastAsia="zh-CN"/>
        </w:rPr>
        <w:t>（</w:t>
      </w:r>
      <w:r>
        <w:rPr>
          <w:rFonts w:hint="eastAsia" w:ascii="仿宋_GB2312" w:hAnsi="宋体" w:eastAsia="仿宋_GB2312"/>
          <w:sz w:val="28"/>
          <w:szCs w:val="28"/>
        </w:rPr>
        <w:t>以下简称《交易规则》</w:t>
      </w:r>
      <w:r>
        <w:rPr>
          <w:rFonts w:hint="eastAsia" w:ascii="仿宋_GB2312" w:hAnsi="宋体" w:eastAsia="仿宋_GB2312"/>
          <w:sz w:val="28"/>
          <w:szCs w:val="28"/>
          <w:lang w:eastAsia="zh-CN"/>
        </w:rPr>
        <w:t>）</w:t>
      </w:r>
      <w:r>
        <w:rPr>
          <w:rFonts w:hint="eastAsia" w:ascii="仿宋_GB2312" w:hAnsi="宋体" w:eastAsia="仿宋_GB2312"/>
          <w:sz w:val="28"/>
          <w:szCs w:val="28"/>
        </w:rPr>
        <w:t>、《上海证券交易所、中国证券登记结算有限责任公司股票期权试点风险控制管理办法》《上海证券交易所股票期权试点投资者适当性管理指引》《中国证券登记结算有限责任公司关于上海证券交易所股票期权试点结算规则》等，制定本指南，供期货公司开展股票期权经纪业务时参考。本指南如有内容与本所股票期权业务规则不一致，以本所股票期权业务规则为准。</w:t>
      </w:r>
    </w:p>
    <w:p w14:paraId="31B3859A">
      <w:pPr>
        <w:pStyle w:val="64"/>
        <w:ind w:firstLine="560" w:firstLineChars="200"/>
        <w:rPr>
          <w:rFonts w:hint="eastAsia" w:ascii="仿宋_GB2312" w:eastAsia="仿宋_GB2312"/>
          <w:sz w:val="28"/>
          <w:szCs w:val="28"/>
        </w:rPr>
      </w:pPr>
      <w:r>
        <w:rPr>
          <w:rFonts w:hint="eastAsia" w:ascii="仿宋_GB2312" w:hAnsi="宋体" w:eastAsia="仿宋_GB2312" w:cs="Times New Roman"/>
          <w:color w:val="auto"/>
          <w:kern w:val="2"/>
          <w:sz w:val="28"/>
          <w:szCs w:val="28"/>
        </w:rPr>
        <w:t>期货公司与客户之间经纪业务关系以其与客户签订的经纪合同中约定为准，本指南不作为处理相关纠纷的依据。</w:t>
      </w:r>
      <w:r>
        <w:rPr>
          <w:rFonts w:hint="eastAsia" w:ascii="仿宋_GB2312" w:eastAsia="仿宋_GB2312"/>
          <w:sz w:val="28"/>
          <w:szCs w:val="28"/>
          <w:lang w:eastAsia="zh-CN"/>
        </w:rPr>
        <w:t>本所</w:t>
      </w:r>
      <w:r>
        <w:rPr>
          <w:rFonts w:hint="eastAsia" w:ascii="仿宋_GB2312" w:eastAsia="仿宋_GB2312"/>
          <w:sz w:val="28"/>
          <w:szCs w:val="28"/>
        </w:rPr>
        <w:t>将根据股票期权业务的进展情况，对本指南进行持续更新和调整。</w:t>
      </w:r>
    </w:p>
    <w:p w14:paraId="0F447057">
      <w:pPr>
        <w:pStyle w:val="64"/>
        <w:ind w:firstLine="560" w:firstLineChars="200"/>
        <w:rPr>
          <w:rFonts w:hint="eastAsia" w:ascii="Times New Roman" w:hAnsi="Times New Roman" w:eastAsia="仿宋_GB2312" w:cs="Times New Roman"/>
          <w:color w:val="auto"/>
          <w:kern w:val="2"/>
          <w:sz w:val="28"/>
          <w:szCs w:val="28"/>
          <w:highlight w:val="none"/>
        </w:rPr>
      </w:pPr>
      <w:r>
        <w:rPr>
          <w:rFonts w:hint="eastAsia" w:ascii="Times New Roman" w:hAnsi="Times New Roman" w:eastAsia="仿宋_GB2312" w:cs="Times New Roman"/>
          <w:color w:val="auto"/>
          <w:kern w:val="2"/>
          <w:sz w:val="28"/>
          <w:szCs w:val="28"/>
          <w:highlight w:val="none"/>
          <w:lang w:eastAsia="zh-CN"/>
        </w:rPr>
        <w:t>本所服务热线：400-8888-400。</w:t>
      </w:r>
    </w:p>
    <w:p w14:paraId="5F4ADF01">
      <w:pPr>
        <w:pStyle w:val="64"/>
        <w:ind w:firstLine="560" w:firstLineChars="200"/>
        <w:rPr>
          <w:rFonts w:hint="eastAsia" w:ascii="仿宋_GB2312" w:eastAsia="仿宋_GB2312"/>
          <w:sz w:val="28"/>
          <w:szCs w:val="28"/>
        </w:rPr>
      </w:pPr>
    </w:p>
    <w:p w14:paraId="057E65B5">
      <w:pPr>
        <w:jc w:val="center"/>
        <w:outlineLvl w:val="0"/>
        <w:rPr>
          <w:rFonts w:ascii="Times New Roman" w:hAnsi="Times New Roman" w:eastAsia="黑体"/>
          <w:b/>
          <w:bCs/>
          <w:sz w:val="30"/>
          <w:szCs w:val="24"/>
        </w:rPr>
      </w:pPr>
      <w:bookmarkStart w:id="9" w:name="_Toc406439132"/>
      <w:bookmarkStart w:id="10" w:name="_Toc406438871"/>
      <w:bookmarkStart w:id="11" w:name="_Toc406436498"/>
      <w:bookmarkStart w:id="12" w:name="_Toc406438947"/>
    </w:p>
    <w:p w14:paraId="4FC80109">
      <w:pPr>
        <w:pStyle w:val="2"/>
      </w:pPr>
    </w:p>
    <w:p w14:paraId="03DFCDF4">
      <w:pPr>
        <w:pStyle w:val="5"/>
        <w:ind w:firstLine="0" w:firstLineChars="0"/>
        <w:jc w:val="center"/>
        <w:rPr>
          <w:rFonts w:ascii="黑体" w:hAnsi="黑体" w:eastAsia="黑体"/>
          <w:sz w:val="32"/>
        </w:rPr>
      </w:pPr>
      <w:bookmarkStart w:id="13" w:name="_Toc5608"/>
      <w:bookmarkStart w:id="14" w:name="_Toc408749899"/>
      <w:bookmarkStart w:id="15" w:name="_Toc23946956"/>
      <w:bookmarkStart w:id="16" w:name="_Toc408300961"/>
      <w:bookmarkStart w:id="17" w:name="_Toc28186"/>
      <w:bookmarkStart w:id="18" w:name="_Toc12723"/>
      <w:bookmarkStart w:id="19" w:name="_Toc30005"/>
      <w:r>
        <w:rPr>
          <w:rFonts w:hint="eastAsia" w:ascii="黑体" w:hAnsi="黑体" w:eastAsia="黑体"/>
          <w:sz w:val="32"/>
        </w:rPr>
        <w:t>第一章</w:t>
      </w:r>
      <w:r>
        <w:rPr>
          <w:rFonts w:ascii="黑体" w:hAnsi="黑体" w:eastAsia="黑体"/>
          <w:sz w:val="32"/>
        </w:rPr>
        <w:t xml:space="preserve"> </w:t>
      </w:r>
      <w:r>
        <w:rPr>
          <w:rFonts w:hint="eastAsia" w:ascii="黑体" w:hAnsi="黑体" w:eastAsia="黑体"/>
          <w:sz w:val="32"/>
        </w:rPr>
        <w:t>总体要求</w:t>
      </w:r>
      <w:bookmarkEnd w:id="9"/>
      <w:bookmarkEnd w:id="10"/>
      <w:bookmarkEnd w:id="11"/>
      <w:bookmarkEnd w:id="12"/>
      <w:bookmarkEnd w:id="13"/>
      <w:bookmarkEnd w:id="14"/>
      <w:bookmarkEnd w:id="15"/>
      <w:bookmarkEnd w:id="16"/>
      <w:bookmarkEnd w:id="17"/>
      <w:bookmarkEnd w:id="18"/>
      <w:bookmarkEnd w:id="19"/>
    </w:p>
    <w:p w14:paraId="362218EF">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期货公司应当根据本所、中国证券登记结算有限责任公司（以下简称中国结算）股票期权业务相关规则，制定股票期权经纪业务交易、结算、风险控制等内部制度。期货公司应当合理设置期权业务的组织架构，组织架构和相关岗位的设置须考虑到期权业务和相关现货业务方面的隔离，明确期权经纪业务部门和各相关部门、分支机构的职责分工，并恰当安排股票期权业务相关岗位、</w:t>
      </w:r>
      <w:r>
        <w:rPr>
          <w:rFonts w:hint="eastAsia" w:ascii="仿宋_GB2312" w:hAnsi="宋体" w:eastAsia="仿宋_GB2312"/>
          <w:sz w:val="28"/>
          <w:szCs w:val="28"/>
        </w:rPr>
        <w:t>配备相关人员</w:t>
      </w:r>
      <w:r>
        <w:rPr>
          <w:rFonts w:hint="eastAsia" w:ascii="仿宋_GB2312" w:hAnsi="宋体" w:eastAsia="仿宋_GB2312"/>
          <w:color w:val="000000"/>
          <w:sz w:val="28"/>
          <w:szCs w:val="28"/>
        </w:rPr>
        <w:t>。</w:t>
      </w:r>
    </w:p>
    <w:p w14:paraId="77891B92">
      <w:pPr>
        <w:ind w:firstLine="560" w:firstLineChars="200"/>
        <w:outlineLvl w:val="1"/>
        <w:rPr>
          <w:rFonts w:hint="eastAsia" w:ascii="Times New Roman" w:hAnsi="Times New Roman" w:eastAsia="黑体"/>
          <w:sz w:val="28"/>
          <w:szCs w:val="28"/>
        </w:rPr>
      </w:pPr>
      <w:bookmarkStart w:id="20" w:name="_Toc408300962"/>
      <w:bookmarkStart w:id="21" w:name="_Toc1715"/>
      <w:bookmarkStart w:id="22" w:name="_Toc1486"/>
      <w:bookmarkStart w:id="23" w:name="_Toc5786"/>
      <w:bookmarkStart w:id="24" w:name="_Toc23946957"/>
      <w:bookmarkStart w:id="25" w:name="_Toc408749900"/>
      <w:bookmarkStart w:id="26" w:name="_Toc14453"/>
      <w:bookmarkStart w:id="27" w:name="_Toc406438872"/>
      <w:r>
        <w:rPr>
          <w:rFonts w:hint="eastAsia" w:ascii="Times New Roman" w:hAnsi="Times New Roman" w:eastAsia="黑体"/>
          <w:sz w:val="28"/>
          <w:szCs w:val="28"/>
        </w:rPr>
        <w:t>一、组织架构和职责分工</w:t>
      </w:r>
      <w:bookmarkEnd w:id="20"/>
      <w:bookmarkEnd w:id="21"/>
      <w:bookmarkEnd w:id="22"/>
      <w:bookmarkEnd w:id="23"/>
      <w:bookmarkEnd w:id="24"/>
      <w:bookmarkEnd w:id="25"/>
      <w:bookmarkEnd w:id="26"/>
      <w:bookmarkEnd w:id="27"/>
    </w:p>
    <w:p w14:paraId="21B28E8C">
      <w:pPr>
        <w:widowControl/>
        <w:ind w:firstLine="560" w:firstLineChars="200"/>
        <w:jc w:val="left"/>
        <w:rPr>
          <w:rFonts w:ascii="Times New Roman" w:hAnsi="Times New Roman" w:eastAsia="楷体_GB2312" w:cs="Times New Roman"/>
          <w:b w:val="0"/>
          <w:color w:val="auto"/>
          <w:kern w:val="2"/>
          <w:sz w:val="28"/>
          <w:szCs w:val="28"/>
        </w:rPr>
      </w:pPr>
      <w:bookmarkStart w:id="28" w:name="_Toc408300963"/>
      <w:bookmarkStart w:id="29" w:name="_Toc406438873"/>
      <w:r>
        <w:rPr>
          <w:rFonts w:hint="default" w:ascii="Times New Roman" w:hAnsi="Times New Roman" w:eastAsia="楷体_GB2312" w:cs="Times New Roman"/>
          <w:b w:val="0"/>
          <w:color w:val="auto"/>
          <w:kern w:val="2"/>
          <w:sz w:val="28"/>
          <w:szCs w:val="28"/>
        </w:rPr>
        <w:t>（一）公司总部</w:t>
      </w:r>
      <w:bookmarkEnd w:id="28"/>
      <w:bookmarkEnd w:id="29"/>
    </w:p>
    <w:p w14:paraId="681967C1">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股票期权经纪业务由公司</w:t>
      </w:r>
      <w:r>
        <w:rPr>
          <w:rFonts w:ascii="仿宋_GB2312" w:hAnsi="宋体" w:eastAsia="仿宋_GB2312" w:cs="宋体"/>
          <w:color w:val="000000"/>
          <w:kern w:val="0"/>
          <w:sz w:val="28"/>
          <w:szCs w:val="28"/>
        </w:rPr>
        <w:t>总部统一集中管理</w:t>
      </w:r>
      <w:r>
        <w:rPr>
          <w:rFonts w:hint="eastAsia" w:ascii="仿宋_GB2312" w:hAnsi="宋体" w:eastAsia="仿宋_GB2312" w:cs="宋体"/>
          <w:color w:val="000000"/>
          <w:kern w:val="0"/>
          <w:sz w:val="28"/>
          <w:szCs w:val="28"/>
        </w:rPr>
        <w:t>。公司总部需要指定负责股票期权经纪业务的部门（一级或二级部门），部门职责可包括但不限于股票期权经纪业务制度与流程制定、业务统筹规划以及与股票期权业务密切相关的运营管理、风险管理、投资者适当性管理、客户关系管理、投资者教育等，并对分支机构开展股票期权业务进行管理和持续督导。公司总部应设立独立的证券经纪业务部门（一级或二级部门）专门从事股票期权相关现货业务。</w:t>
      </w:r>
    </w:p>
    <w:p w14:paraId="03618CE6">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公司总部其他相关部门应承担与股票期权经纪业务相关的职责，包括但不限于合规管理、风险控制、资金清算、技术系统的开发与维护等。</w:t>
      </w:r>
    </w:p>
    <w:p w14:paraId="0FFA4E55">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期货公司从事股票期权经纪业务的，应当建立健全并有效执行信息隔离制度，防止敏感信息的不当流动和使用，严格防范</w:t>
      </w:r>
      <w:r>
        <w:rPr>
          <w:rFonts w:hint="eastAsia" w:ascii="仿宋_GB2312" w:hAnsi="宋体" w:eastAsia="仿宋_GB2312" w:cs="宋体"/>
          <w:kern w:val="0"/>
          <w:sz w:val="28"/>
          <w:szCs w:val="28"/>
        </w:rPr>
        <w:t>损害客户利益</w:t>
      </w:r>
      <w:r>
        <w:rPr>
          <w:rFonts w:hint="eastAsia" w:ascii="仿宋_GB2312" w:hAnsi="宋体" w:eastAsia="仿宋_GB2312" w:cs="宋体"/>
          <w:color w:val="000000"/>
          <w:kern w:val="0"/>
          <w:sz w:val="28"/>
          <w:szCs w:val="28"/>
        </w:rPr>
        <w:t>。</w:t>
      </w:r>
    </w:p>
    <w:p w14:paraId="32E01B04">
      <w:pPr>
        <w:widowControl/>
        <w:ind w:firstLine="560" w:firstLineChars="200"/>
        <w:jc w:val="left"/>
        <w:rPr>
          <w:rFonts w:ascii="Times New Roman" w:hAnsi="Times New Roman" w:eastAsia="楷体_GB2312" w:cs="Times New Roman"/>
          <w:b w:val="0"/>
          <w:color w:val="auto"/>
          <w:kern w:val="2"/>
          <w:sz w:val="28"/>
          <w:szCs w:val="28"/>
        </w:rPr>
      </w:pPr>
      <w:bookmarkStart w:id="30" w:name="_Toc406438874"/>
      <w:bookmarkStart w:id="31" w:name="_Toc408300964"/>
      <w:r>
        <w:rPr>
          <w:rFonts w:hint="default" w:ascii="Times New Roman" w:hAnsi="Times New Roman" w:eastAsia="楷体_GB2312" w:cs="Times New Roman"/>
          <w:b w:val="0"/>
          <w:color w:val="auto"/>
          <w:kern w:val="2"/>
          <w:sz w:val="28"/>
          <w:szCs w:val="28"/>
        </w:rPr>
        <w:t>（二）分支机构</w:t>
      </w:r>
      <w:bookmarkEnd w:id="30"/>
      <w:bookmarkEnd w:id="31"/>
    </w:p>
    <w:p w14:paraId="1440D86C">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分支机构应在公司授权范围内规范开展股票期权经纪业务，负责本分支机构投资者期权和证券相关账户开立与日常管理、信息收集、投资者教育、投诉处理等工作，并协助总部落实本分支机构投资者适当性管理、档案管理、风险管理等工作。</w:t>
      </w:r>
    </w:p>
    <w:p w14:paraId="7F13C3D2">
      <w:pPr>
        <w:ind w:firstLine="560" w:firstLineChars="200"/>
        <w:outlineLvl w:val="1"/>
        <w:rPr>
          <w:rFonts w:hint="eastAsia" w:ascii="Times New Roman" w:hAnsi="Times New Roman" w:eastAsia="黑体"/>
          <w:sz w:val="28"/>
          <w:szCs w:val="28"/>
        </w:rPr>
      </w:pPr>
      <w:bookmarkStart w:id="32" w:name="_Toc406438875"/>
      <w:bookmarkStart w:id="33" w:name="_Toc17278"/>
      <w:bookmarkStart w:id="34" w:name="_Toc408749901"/>
      <w:bookmarkStart w:id="35" w:name="_Toc31415"/>
      <w:bookmarkStart w:id="36" w:name="_Toc408300965"/>
      <w:bookmarkStart w:id="37" w:name="_Toc23946958"/>
      <w:bookmarkStart w:id="38" w:name="_Toc17520"/>
      <w:bookmarkStart w:id="39" w:name="_Toc2155"/>
      <w:r>
        <w:rPr>
          <w:rFonts w:hint="eastAsia" w:ascii="Times New Roman" w:hAnsi="Times New Roman" w:eastAsia="黑体"/>
          <w:sz w:val="28"/>
          <w:szCs w:val="28"/>
        </w:rPr>
        <w:t>二、岗位设置</w:t>
      </w:r>
      <w:bookmarkEnd w:id="32"/>
      <w:bookmarkEnd w:id="33"/>
      <w:bookmarkEnd w:id="34"/>
      <w:bookmarkEnd w:id="35"/>
      <w:bookmarkEnd w:id="36"/>
      <w:bookmarkEnd w:id="37"/>
      <w:bookmarkEnd w:id="38"/>
      <w:bookmarkEnd w:id="39"/>
    </w:p>
    <w:p w14:paraId="44B9DE54">
      <w:pPr>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期货公司应当恰当安排股票期权经纪业务相关岗位，明确岗位职能，建立岗位责任制度。</w:t>
      </w:r>
    </w:p>
    <w:p w14:paraId="221F1C06">
      <w:pPr>
        <w:widowControl/>
        <w:ind w:firstLine="560" w:firstLineChars="200"/>
        <w:jc w:val="left"/>
        <w:rPr>
          <w:rFonts w:ascii="Times New Roman" w:hAnsi="Times New Roman" w:eastAsia="楷体_GB2312" w:cs="Times New Roman"/>
          <w:b w:val="0"/>
          <w:color w:val="auto"/>
          <w:kern w:val="2"/>
          <w:sz w:val="28"/>
          <w:szCs w:val="28"/>
        </w:rPr>
      </w:pPr>
      <w:bookmarkStart w:id="40" w:name="_Toc406438876"/>
      <w:bookmarkStart w:id="41" w:name="_Toc408300966"/>
      <w:r>
        <w:rPr>
          <w:rFonts w:hint="default" w:ascii="Times New Roman" w:hAnsi="Times New Roman" w:eastAsia="楷体_GB2312" w:cs="Times New Roman"/>
          <w:b w:val="0"/>
          <w:color w:val="auto"/>
          <w:kern w:val="2"/>
          <w:sz w:val="28"/>
          <w:szCs w:val="28"/>
        </w:rPr>
        <w:t>（一）公司总部</w:t>
      </w:r>
      <w:bookmarkEnd w:id="40"/>
      <w:bookmarkEnd w:id="41"/>
    </w:p>
    <w:p w14:paraId="225103AD">
      <w:pPr>
        <w:widowControl/>
        <w:spacing w:before="120" w:after="120"/>
        <w:ind w:firstLine="555"/>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股票期权经纪业务部门建议设立包括但不限于如下岗位</w:t>
      </w:r>
      <w:r>
        <w:rPr>
          <w:rFonts w:ascii="仿宋_GB2312" w:hAnsi="宋体" w:eastAsia="仿宋_GB2312" w:cs="宋体"/>
          <w:color w:val="000000"/>
          <w:kern w:val="0"/>
          <w:sz w:val="28"/>
          <w:szCs w:val="28"/>
        </w:rPr>
        <w:t>:</w:t>
      </w:r>
    </w:p>
    <w:p w14:paraId="01F159D9">
      <w:pPr>
        <w:widowControl w:val="0"/>
        <w:numPr>
          <w:ilvl w:val="-1"/>
          <w:numId w:val="0"/>
        </w:numPr>
        <w:ind w:firstLine="560" w:firstLineChars="200"/>
        <w:jc w:val="both"/>
        <w:rPr>
          <w:rFonts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lang w:val="en-US" w:eastAsia="zh-CN"/>
        </w:rPr>
        <w:t>1.</w:t>
      </w:r>
      <w:r>
        <w:rPr>
          <w:rFonts w:hint="default" w:ascii="Times New Roman" w:hAnsi="Times New Roman" w:eastAsia="仿宋_GB2312" w:cs="Times New Roman"/>
          <w:color w:val="auto"/>
          <w:kern w:val="2"/>
          <w:sz w:val="28"/>
          <w:szCs w:val="28"/>
        </w:rPr>
        <w:t>客户适当性管理岗，主要职责包括投资者适当性综合评估、分级管理、额度核定与调整、持续适当性评估等；</w:t>
      </w:r>
    </w:p>
    <w:p w14:paraId="69329F9A">
      <w:pPr>
        <w:widowControl/>
        <w:spacing w:before="120" w:after="120"/>
        <w:ind w:firstLine="565" w:firstLineChars="202"/>
        <w:jc w:val="left"/>
        <w:rPr>
          <w:rFonts w:ascii="仿宋_GB2312" w:hAnsi="宋体" w:eastAsia="仿宋_GB2312" w:cs="宋体"/>
          <w:color w:val="000000"/>
          <w:kern w:val="0"/>
          <w:sz w:val="28"/>
          <w:szCs w:val="28"/>
        </w:rPr>
      </w:pPr>
      <w:r>
        <w:rPr>
          <w:rFonts w:hint="eastAsia" w:ascii="仿宋_GB2312" w:hAnsi="宋体" w:eastAsia="仿宋_GB2312" w:cs="宋体"/>
          <w:kern w:val="0"/>
          <w:sz w:val="28"/>
          <w:szCs w:val="28"/>
          <w:lang w:val="en-US" w:eastAsia="zh-CN"/>
        </w:rPr>
        <w:t>2.</w:t>
      </w:r>
      <w:r>
        <w:rPr>
          <w:rFonts w:hint="eastAsia" w:ascii="仿宋_GB2312" w:hAnsi="宋体" w:eastAsia="仿宋_GB2312" w:cs="宋体"/>
          <w:kern w:val="0"/>
          <w:sz w:val="28"/>
          <w:szCs w:val="28"/>
        </w:rPr>
        <w:t>合规与风险管理岗，主要职责包括对公司期权业务合规审查、风险总控管理等；</w:t>
      </w:r>
    </w:p>
    <w:p w14:paraId="53E962CA">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val="en-US" w:eastAsia="zh-CN"/>
        </w:rPr>
        <w:t>3.</w:t>
      </w:r>
      <w:r>
        <w:rPr>
          <w:rFonts w:hint="eastAsia" w:ascii="仿宋_GB2312" w:hAnsi="宋体" w:eastAsia="仿宋_GB2312" w:cs="宋体"/>
          <w:color w:val="000000"/>
          <w:kern w:val="0"/>
          <w:sz w:val="28"/>
          <w:szCs w:val="28"/>
        </w:rPr>
        <w:t>风险监控岗，主要职责包括对盘中交易风险、保证金风险、持仓风险等实时动态监控等；</w:t>
      </w:r>
    </w:p>
    <w:p w14:paraId="426ADDDC">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val="en-US" w:eastAsia="zh-CN"/>
        </w:rPr>
        <w:t>4.</w:t>
      </w:r>
      <w:r>
        <w:rPr>
          <w:rFonts w:hint="eastAsia" w:ascii="仿宋_GB2312" w:hAnsi="宋体" w:eastAsia="仿宋_GB2312" w:cs="宋体"/>
          <w:color w:val="000000"/>
          <w:kern w:val="0"/>
          <w:sz w:val="28"/>
          <w:szCs w:val="28"/>
        </w:rPr>
        <w:t>风险处置岗，主要职责包括风险警示与平仓通知、强行平仓、违约处置等；</w:t>
      </w:r>
    </w:p>
    <w:p w14:paraId="4C36FFF6">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val="en-US" w:eastAsia="zh-CN"/>
        </w:rPr>
        <w:t>5.</w:t>
      </w:r>
      <w:r>
        <w:rPr>
          <w:rFonts w:hint="eastAsia" w:ascii="仿宋_GB2312" w:hAnsi="宋体" w:eastAsia="仿宋_GB2312" w:cs="宋体"/>
          <w:color w:val="000000"/>
          <w:kern w:val="0"/>
          <w:sz w:val="28"/>
          <w:szCs w:val="28"/>
        </w:rPr>
        <w:t>运行管理岗，主要职责包括业务流程管理、合约管理、参数管理等；</w:t>
      </w:r>
    </w:p>
    <w:p w14:paraId="3001272C">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val="en-US" w:eastAsia="zh-CN"/>
        </w:rPr>
        <w:t>6.</w:t>
      </w:r>
      <w:r>
        <w:rPr>
          <w:rFonts w:hint="eastAsia" w:ascii="仿宋_GB2312" w:hAnsi="宋体" w:eastAsia="仿宋_GB2312" w:cs="宋体"/>
          <w:color w:val="000000"/>
          <w:kern w:val="0"/>
          <w:sz w:val="28"/>
          <w:szCs w:val="28"/>
        </w:rPr>
        <w:t>投资者教育岗，主要职责包括统筹、规划、安排全公司及各分支机构的期权投资者教育工作等；</w:t>
      </w:r>
    </w:p>
    <w:p w14:paraId="76423238">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val="en-US" w:eastAsia="zh-CN"/>
        </w:rPr>
        <w:t>7.</w:t>
      </w:r>
      <w:r>
        <w:rPr>
          <w:rFonts w:hint="eastAsia" w:ascii="仿宋_GB2312" w:hAnsi="宋体" w:eastAsia="仿宋_GB2312" w:cs="宋体"/>
          <w:color w:val="000000"/>
          <w:kern w:val="0"/>
          <w:sz w:val="28"/>
          <w:szCs w:val="28"/>
        </w:rPr>
        <w:t>资金管理岗，主要职责包括资金盯市、（发起）资金调度、客户资金流动性分析与管理、客户保证金缺口计算与垫资管理等。</w:t>
      </w:r>
    </w:p>
    <w:p w14:paraId="50A70DE8">
      <w:pPr>
        <w:widowControl/>
        <w:ind w:firstLine="560" w:firstLineChars="200"/>
        <w:jc w:val="left"/>
        <w:rPr>
          <w:rFonts w:ascii="仿宋_GB2312" w:hAnsi="Times New Roman" w:eastAsia="仿宋_GB2312"/>
          <w:color w:val="000000"/>
          <w:sz w:val="28"/>
          <w:szCs w:val="28"/>
        </w:rPr>
      </w:pPr>
      <w:r>
        <w:rPr>
          <w:rFonts w:hint="eastAsia" w:ascii="仿宋_GB2312" w:hAnsi="Times New Roman" w:eastAsia="仿宋_GB2312"/>
          <w:color w:val="000000"/>
          <w:sz w:val="28"/>
          <w:szCs w:val="28"/>
        </w:rPr>
        <w:t>对重点岗位如风险监控岗、风险处置岗、运行管理岗等，建立备岗制度。</w:t>
      </w:r>
    </w:p>
    <w:p w14:paraId="2E9F0910">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总部其他相关部门应就期权经纪业务的风险管理、合规管理、清算与资金管理、技术开发等设立相关岗位。</w:t>
      </w:r>
    </w:p>
    <w:p w14:paraId="08676514">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股票期权经纪业务部门与总部其他相关部门应明确各岗位的权责关系，保障期权经纪业务有序、平稳开展。</w:t>
      </w:r>
    </w:p>
    <w:p w14:paraId="6375E3FC">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证券经纪业务部门应当做好标的证券的管理工作，岗位设置包括但不限于运行管理岗、系统维护岗、资金管理岗等，确保与股票期权备兑开仓以及行权相关的证券现货经纪业务平稳、有序开展。</w:t>
      </w:r>
    </w:p>
    <w:p w14:paraId="67C103AA">
      <w:pPr>
        <w:widowControl/>
        <w:ind w:firstLine="560" w:firstLineChars="200"/>
        <w:jc w:val="left"/>
        <w:rPr>
          <w:rFonts w:ascii="Times New Roman" w:hAnsi="Times New Roman" w:eastAsia="楷体_GB2312" w:cs="Times New Roman"/>
          <w:b w:val="0"/>
          <w:color w:val="auto"/>
          <w:kern w:val="2"/>
          <w:sz w:val="28"/>
          <w:szCs w:val="28"/>
        </w:rPr>
      </w:pPr>
      <w:bookmarkStart w:id="42" w:name="_Toc408300967"/>
      <w:bookmarkStart w:id="43" w:name="_Toc406438877"/>
      <w:r>
        <w:rPr>
          <w:rFonts w:hint="default" w:ascii="Times New Roman" w:hAnsi="Times New Roman" w:eastAsia="楷体_GB2312" w:cs="Times New Roman"/>
          <w:b w:val="0"/>
          <w:color w:val="auto"/>
          <w:kern w:val="2"/>
          <w:sz w:val="28"/>
          <w:szCs w:val="28"/>
        </w:rPr>
        <w:t>（二）分支机构</w:t>
      </w:r>
      <w:bookmarkEnd w:id="42"/>
      <w:bookmarkEnd w:id="43"/>
    </w:p>
    <w:p w14:paraId="4129AD94">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分支机构</w:t>
      </w:r>
      <w:r>
        <w:rPr>
          <w:rFonts w:hint="eastAsia" w:ascii="仿宋_GB2312" w:hAnsi="宋体" w:eastAsia="仿宋_GB2312" w:cs="宋体"/>
          <w:color w:val="000000"/>
          <w:kern w:val="0"/>
          <w:sz w:val="28"/>
          <w:szCs w:val="28"/>
        </w:rPr>
        <w:t>应指定期权和证券经纪业务负责人，可</w:t>
      </w:r>
      <w:r>
        <w:rPr>
          <w:rFonts w:hint="eastAsia" w:ascii="仿宋_GB2312" w:hAnsi="宋体" w:eastAsia="仿宋_GB2312" w:cs="宋体"/>
          <w:kern w:val="0"/>
          <w:sz w:val="28"/>
          <w:szCs w:val="28"/>
        </w:rPr>
        <w:t>根据需要</w:t>
      </w:r>
      <w:r>
        <w:rPr>
          <w:rFonts w:hint="eastAsia" w:ascii="仿宋_GB2312" w:hAnsi="宋体" w:eastAsia="仿宋_GB2312" w:cs="宋体"/>
          <w:color w:val="000000"/>
          <w:kern w:val="0"/>
          <w:sz w:val="28"/>
          <w:szCs w:val="28"/>
        </w:rPr>
        <w:t>设立股票期权与现货开户岗、</w:t>
      </w:r>
      <w:r>
        <w:rPr>
          <w:rFonts w:hint="eastAsia" w:ascii="仿宋_GB2312" w:hAnsi="Times New Roman" w:eastAsia="仿宋_GB2312"/>
          <w:color w:val="000000"/>
          <w:sz w:val="28"/>
          <w:szCs w:val="28"/>
        </w:rPr>
        <w:t>运营岗、合规与风险管理岗、</w:t>
      </w:r>
      <w:r>
        <w:rPr>
          <w:rFonts w:hint="eastAsia" w:ascii="仿宋_GB2312" w:hAnsi="宋体" w:eastAsia="仿宋_GB2312" w:cs="宋体"/>
          <w:color w:val="000000"/>
          <w:kern w:val="0"/>
          <w:sz w:val="28"/>
          <w:szCs w:val="28"/>
        </w:rPr>
        <w:t>投资者教育培训岗、客户回访岗、客户投诉处理岗</w:t>
      </w:r>
      <w:r>
        <w:rPr>
          <w:rFonts w:hint="eastAsia" w:ascii="仿宋_GB2312" w:hAnsi="Times New Roman" w:eastAsia="仿宋_GB2312"/>
          <w:color w:val="000000"/>
          <w:sz w:val="28"/>
          <w:szCs w:val="28"/>
        </w:rPr>
        <w:t>等岗位。</w:t>
      </w:r>
      <w:r>
        <w:rPr>
          <w:rFonts w:hint="eastAsia" w:ascii="仿宋_GB2312" w:hAnsi="宋体" w:eastAsia="仿宋_GB2312" w:cs="宋体"/>
          <w:color w:val="000000"/>
          <w:kern w:val="0"/>
          <w:sz w:val="28"/>
          <w:szCs w:val="28"/>
        </w:rPr>
        <w:t>开户岗和运营岗等岗位建立备岗机制。</w:t>
      </w:r>
      <w:r>
        <w:rPr>
          <w:rFonts w:hint="eastAsia" w:ascii="仿宋_GB2312" w:hAnsi="Times New Roman" w:eastAsia="仿宋_GB2312"/>
          <w:color w:val="000000"/>
          <w:sz w:val="28"/>
          <w:szCs w:val="28"/>
        </w:rPr>
        <w:t>分支机构可根据实际情况合理设置兼岗。</w:t>
      </w:r>
    </w:p>
    <w:p w14:paraId="59DB6D77">
      <w:pPr>
        <w:ind w:firstLine="560" w:firstLineChars="200"/>
        <w:outlineLvl w:val="1"/>
        <w:rPr>
          <w:rFonts w:hint="eastAsia" w:ascii="Times New Roman" w:hAnsi="Times New Roman" w:eastAsia="黑体"/>
          <w:sz w:val="28"/>
          <w:szCs w:val="28"/>
        </w:rPr>
      </w:pPr>
      <w:bookmarkStart w:id="44" w:name="_Toc408749902"/>
      <w:bookmarkStart w:id="45" w:name="_Toc5669"/>
      <w:bookmarkStart w:id="46" w:name="_Toc7744"/>
      <w:bookmarkStart w:id="47" w:name="_Toc30152"/>
      <w:bookmarkStart w:id="48" w:name="_Toc408300968"/>
      <w:bookmarkStart w:id="49" w:name="_Toc23946959"/>
      <w:bookmarkStart w:id="50" w:name="_Toc7308"/>
      <w:bookmarkStart w:id="51" w:name="_Toc406438878"/>
      <w:r>
        <w:rPr>
          <w:rFonts w:hint="eastAsia" w:ascii="Times New Roman" w:hAnsi="Times New Roman" w:eastAsia="黑体"/>
          <w:sz w:val="28"/>
          <w:szCs w:val="28"/>
        </w:rPr>
        <w:t>三、制度与流程</w:t>
      </w:r>
      <w:bookmarkEnd w:id="44"/>
      <w:bookmarkEnd w:id="45"/>
      <w:bookmarkEnd w:id="46"/>
      <w:bookmarkEnd w:id="47"/>
      <w:bookmarkEnd w:id="48"/>
      <w:bookmarkEnd w:id="49"/>
      <w:bookmarkEnd w:id="50"/>
      <w:bookmarkEnd w:id="51"/>
    </w:p>
    <w:p w14:paraId="4B933217">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期货公司应制定健全的业务制度和完备的业务流程，涵盖股票期权和相关现货业务的经纪业务管理、交易管理、客户适当性评估以及分级管理、结算、风险管理、内部控制制度、投资者教育、合规管理、分支机构相关业务管理、分支机构相关内部控制等各个环节。</w:t>
      </w:r>
    </w:p>
    <w:p w14:paraId="08DD529D">
      <w:pPr>
        <w:ind w:firstLine="560" w:firstLineChars="200"/>
        <w:rPr>
          <w:rFonts w:ascii="仿宋_GB2312" w:eastAsia="仿宋_GB2312"/>
          <w:color w:val="000000"/>
          <w:sz w:val="28"/>
          <w:szCs w:val="28"/>
        </w:rPr>
      </w:pPr>
      <w:r>
        <w:rPr>
          <w:rFonts w:hint="eastAsia" w:ascii="仿宋_GB2312" w:hAnsi="Times New Roman" w:eastAsia="仿宋_GB2312"/>
          <w:color w:val="000000"/>
          <w:sz w:val="28"/>
          <w:szCs w:val="28"/>
        </w:rPr>
        <w:t>期货公司应制定股票期权</w:t>
      </w:r>
      <w:r>
        <w:rPr>
          <w:rFonts w:hint="eastAsia" w:ascii="仿宋_GB2312" w:eastAsia="仿宋_GB2312"/>
          <w:color w:val="000000"/>
          <w:sz w:val="28"/>
          <w:szCs w:val="28"/>
        </w:rPr>
        <w:t>经纪业务应急预案，以应对业务中的突发事件，保障业务平稳开展。</w:t>
      </w:r>
    </w:p>
    <w:p w14:paraId="34C42018">
      <w:pPr>
        <w:ind w:firstLine="560"/>
        <w:rPr>
          <w:rFonts w:hint="eastAsia" w:ascii="Times New Roman" w:hAnsi="Times New Roman" w:eastAsia="黑体"/>
          <w:sz w:val="28"/>
          <w:szCs w:val="28"/>
        </w:rPr>
      </w:pPr>
      <w:bookmarkStart w:id="52" w:name="_Toc18115"/>
      <w:bookmarkStart w:id="53" w:name="_Toc28584"/>
      <w:bookmarkStart w:id="54" w:name="_Toc23946960"/>
      <w:bookmarkStart w:id="55" w:name="_Toc5967"/>
      <w:bookmarkStart w:id="56" w:name="_Toc15367"/>
      <w:r>
        <w:rPr>
          <w:rFonts w:hint="eastAsia" w:ascii="Times New Roman" w:hAnsi="Times New Roman" w:eastAsia="黑体"/>
          <w:sz w:val="28"/>
          <w:szCs w:val="28"/>
        </w:rPr>
        <w:t>四、合规与内控管理</w:t>
      </w:r>
      <w:bookmarkEnd w:id="52"/>
      <w:bookmarkEnd w:id="53"/>
      <w:bookmarkEnd w:id="54"/>
      <w:bookmarkEnd w:id="55"/>
      <w:bookmarkEnd w:id="56"/>
    </w:p>
    <w:p w14:paraId="33F742ED">
      <w:pPr>
        <w:widowControl/>
        <w:spacing w:beforeLines="-2147483648" w:afterLines="-2147483648"/>
        <w:ind w:firstLine="560" w:firstLineChars="200"/>
        <w:jc w:val="left"/>
        <w:rPr>
          <w:rFonts w:ascii="Times New Roman" w:hAnsi="Times New Roman" w:eastAsia="楷体_GB2312" w:cs="Times New Roman"/>
          <w:b w:val="0"/>
          <w:bCs w:val="0"/>
          <w:sz w:val="28"/>
          <w:szCs w:val="28"/>
        </w:rPr>
      </w:pPr>
      <w:r>
        <w:rPr>
          <w:rFonts w:hint="default" w:ascii="Times New Roman" w:hAnsi="Times New Roman" w:eastAsia="楷体_GB2312" w:cs="Times New Roman"/>
          <w:b w:val="0"/>
          <w:bCs w:val="0"/>
          <w:sz w:val="28"/>
          <w:szCs w:val="28"/>
        </w:rPr>
        <w:t>（一）合规管理制度</w:t>
      </w:r>
    </w:p>
    <w:p w14:paraId="31DE013A">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期货公司须建立防范利益冲突相关的合规制度，确保</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期权业务在信息、人员、系统、资金和账户等方面实现隔离，在业务开展中须防止敏感信息的不当流动，建立跨墙管理制度。同时，应防范不同利益主体之间的利益冲突。</w:t>
      </w:r>
    </w:p>
    <w:p w14:paraId="00D2798C">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隔离制度</w:t>
      </w:r>
    </w:p>
    <w:p w14:paraId="206516EB">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从事期权的经纪业务部门应使用相对独立的办公场所；</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期权业务和风控系统与办公系统和外部互联网有效隔离。</w:t>
      </w:r>
    </w:p>
    <w:p w14:paraId="6C555609">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利益冲突防范制度</w:t>
      </w:r>
    </w:p>
    <w:p w14:paraId="099B3653">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公司应当针对</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期权的特点及监管要求，对开展</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期权业务所导致的利益冲突进行识别、评估、防范和管理，公司合规部应当在日常合规管理中保持对</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期权业务利益冲突的持续关注。</w:t>
      </w:r>
    </w:p>
    <w:p w14:paraId="7475AD21">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合规检查制度</w:t>
      </w:r>
    </w:p>
    <w:p w14:paraId="6BA33857">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公司应当安排例行检查和专项检查，并根据情况采取现场检查和非现场检查两种方式结合进行，内容包括相关制度和流程是否完备、各项工作开展是否符合合规要求、员工行为是否合规等。</w:t>
      </w:r>
    </w:p>
    <w:p w14:paraId="21563C68">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4.</w:t>
      </w:r>
      <w:r>
        <w:rPr>
          <w:rFonts w:hint="eastAsia" w:ascii="仿宋_GB2312" w:eastAsia="仿宋_GB2312" w:cs="仿宋_GB2312"/>
          <w:sz w:val="28"/>
          <w:szCs w:val="28"/>
        </w:rPr>
        <w:t>违规处罚</w:t>
      </w:r>
    </w:p>
    <w:p w14:paraId="150C5722">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公司应当进行合规考核与问责，对于严重的违规情况，应当给予相应的处罚。</w:t>
      </w:r>
    </w:p>
    <w:p w14:paraId="7CB6B343">
      <w:pPr>
        <w:widowControl/>
        <w:spacing w:beforeLines="-2147483648" w:afterLines="-2147483648"/>
        <w:ind w:firstLine="560" w:firstLineChars="200"/>
        <w:jc w:val="left"/>
        <w:rPr>
          <w:rFonts w:hint="default" w:ascii="Times New Roman" w:hAnsi="Times New Roman" w:eastAsia="楷体_GB2312" w:cs="Times New Roman"/>
          <w:b w:val="0"/>
          <w:bCs w:val="0"/>
          <w:sz w:val="28"/>
          <w:szCs w:val="28"/>
        </w:rPr>
      </w:pPr>
      <w:r>
        <w:rPr>
          <w:rFonts w:hint="default" w:ascii="Times New Roman" w:hAnsi="Times New Roman" w:eastAsia="楷体_GB2312" w:cs="Times New Roman"/>
          <w:b w:val="0"/>
          <w:bCs w:val="0"/>
          <w:sz w:val="28"/>
          <w:szCs w:val="28"/>
        </w:rPr>
        <w:t>（二）</w:t>
      </w:r>
      <w:r>
        <w:rPr>
          <w:rFonts w:hint="eastAsia" w:ascii="Times New Roman" w:hAnsi="Times New Roman" w:eastAsia="楷体_GB2312"/>
          <w:sz w:val="28"/>
          <w:szCs w:val="28"/>
        </w:rPr>
        <w:t>内控制度原则</w:t>
      </w:r>
    </w:p>
    <w:p w14:paraId="0CCCA897">
      <w:pPr>
        <w:spacing w:beforeLines="-2147483648" w:afterLines="-2147483648"/>
        <w:ind w:firstLine="560" w:firstLineChars="200"/>
        <w:rPr>
          <w:rFonts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期货公司制定期权业务的内控制度，应遵循如下原则：</w:t>
      </w:r>
    </w:p>
    <w:p w14:paraId="77637016">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建立开展期权业务的决策、授权和业务执行机制；</w:t>
      </w:r>
    </w:p>
    <w:p w14:paraId="7B37656F">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确保前、中、后台相互分离、相互制约，各主要环节分别由不同的部门和岗位负责，不得进行业务间的混合操作；</w:t>
      </w:r>
    </w:p>
    <w:p w14:paraId="3D3402D7">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建立事前防范、事中监控、事后处置的风险管理体系；</w:t>
      </w:r>
    </w:p>
    <w:p w14:paraId="5B7D5A4C">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4.</w:t>
      </w:r>
      <w:r>
        <w:rPr>
          <w:rFonts w:hint="eastAsia" w:ascii="仿宋_GB2312" w:eastAsia="仿宋_GB2312" w:cs="仿宋_GB2312"/>
          <w:sz w:val="28"/>
          <w:szCs w:val="28"/>
        </w:rPr>
        <w:t>对各流程运作设定控制点，做好流程的内部控制的管理制度，具体流程明确到部门、岗位和时间点。</w:t>
      </w:r>
    </w:p>
    <w:p w14:paraId="5AD7926C">
      <w:pPr>
        <w:widowControl/>
        <w:spacing w:beforeLines="-2147483648" w:afterLines="-2147483648"/>
        <w:ind w:firstLine="560" w:firstLineChars="200"/>
        <w:jc w:val="left"/>
        <w:rPr>
          <w:rFonts w:hint="default" w:ascii="Times New Roman" w:hAnsi="Times New Roman" w:eastAsia="楷体_GB2312" w:cs="Times New Roman"/>
          <w:b w:val="0"/>
          <w:bCs w:val="0"/>
          <w:sz w:val="28"/>
          <w:szCs w:val="28"/>
        </w:rPr>
      </w:pPr>
      <w:r>
        <w:rPr>
          <w:rFonts w:hint="default" w:ascii="Times New Roman" w:hAnsi="Times New Roman" w:eastAsia="楷体_GB2312" w:cs="Times New Roman"/>
          <w:b w:val="0"/>
          <w:bCs w:val="0"/>
          <w:sz w:val="28"/>
          <w:szCs w:val="28"/>
        </w:rPr>
        <w:t>（三）</w:t>
      </w:r>
      <w:r>
        <w:rPr>
          <w:rFonts w:hint="eastAsia" w:ascii="Times New Roman" w:hAnsi="Times New Roman" w:eastAsia="楷体_GB2312"/>
          <w:sz w:val="28"/>
          <w:szCs w:val="28"/>
        </w:rPr>
        <w:t>内控制度主要内容</w:t>
      </w:r>
    </w:p>
    <w:p w14:paraId="3FA56EE6">
      <w:pPr>
        <w:spacing w:beforeLines="-2147483648" w:afterLines="-2147483648"/>
        <w:ind w:firstLine="560" w:firstLineChars="200"/>
        <w:rPr>
          <w:rFonts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期货公司制定期权业务的内控制度，至少包括以下内容：</w:t>
      </w:r>
    </w:p>
    <w:p w14:paraId="6D5D54F3">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交易系统的内部控制，如交易委托管理和交易系统管理；</w:t>
      </w:r>
    </w:p>
    <w:p w14:paraId="24561A45">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 xml:space="preserve">风险监控、风险处置与应急管理的内部控制，要点包括保证金标准的制定与调整、盘中交易风险实时动态监控、强行平仓及监控、结算后对客户账户风险的分析预测及风险客户的平仓通知、违约处理等，以及对于各环节中可能出现的各种技术故障、通信故障，应制订可行的应急措施与方案等； </w:t>
      </w:r>
    </w:p>
    <w:p w14:paraId="1DFB2298">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客户选择与资信记录，制定包括投资者准入和分级、买入限额、教育与市场营销管理等制度；</w:t>
      </w:r>
    </w:p>
    <w:p w14:paraId="4C4237CE">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4.</w:t>
      </w:r>
      <w:r>
        <w:rPr>
          <w:rFonts w:hint="eastAsia" w:ascii="仿宋_GB2312" w:eastAsia="仿宋_GB2312" w:cs="仿宋_GB2312"/>
          <w:sz w:val="28"/>
          <w:szCs w:val="28"/>
        </w:rPr>
        <w:t>客户档案与客户投诉的内部控制，制定包括对于客户档案管理，开销户业务的要点，如资格认定、合同签署、账户申请、销户等，妥善保管合同和印章，以及现场投诉、专线投诉、信件投诉和监管机关转发投诉的受理和处理流程，对于投诉事项须定期检查和回访；</w:t>
      </w:r>
    </w:p>
    <w:p w14:paraId="31B9196C">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5.</w:t>
      </w:r>
      <w:r>
        <w:rPr>
          <w:rFonts w:hint="eastAsia" w:ascii="仿宋_GB2312" w:eastAsia="仿宋_GB2312" w:cs="仿宋_GB2312"/>
          <w:sz w:val="28"/>
          <w:szCs w:val="28"/>
        </w:rPr>
        <w:t>客户回访及客户服务的内部控制，客户服务人员可以对追加保证金进程跟踪、强行平仓通知确认、账户发生重大或异常交易、资讯产品使用效果等进行跟踪回访，并建立客户服务记录的支持系统；</w:t>
      </w:r>
    </w:p>
    <w:p w14:paraId="4D7692FF">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6.</w:t>
      </w:r>
      <w:r>
        <w:rPr>
          <w:rFonts w:hint="eastAsia" w:ascii="仿宋_GB2312" w:eastAsia="仿宋_GB2312" w:cs="仿宋_GB2312"/>
          <w:sz w:val="28"/>
          <w:szCs w:val="28"/>
        </w:rPr>
        <w:t>行权、清算与结算过程的内部控制，要点包括参数配置与调整，行权处理、实物交收、结算数据接收、清算、汇总与复核等；</w:t>
      </w:r>
    </w:p>
    <w:p w14:paraId="121DC9E3">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7.</w:t>
      </w:r>
      <w:r>
        <w:rPr>
          <w:rFonts w:hint="eastAsia" w:ascii="仿宋_GB2312" w:eastAsia="仿宋_GB2312" w:cs="仿宋_GB2312"/>
          <w:sz w:val="28"/>
          <w:szCs w:val="28"/>
        </w:rPr>
        <w:t>财务、审计的内部控制；</w:t>
      </w:r>
    </w:p>
    <w:p w14:paraId="2588E0E2">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8.</w:t>
      </w:r>
      <w:r>
        <w:rPr>
          <w:rFonts w:hint="eastAsia" w:ascii="仿宋_GB2312" w:eastAsia="仿宋_GB2312" w:cs="仿宋_GB2312"/>
          <w:sz w:val="28"/>
          <w:szCs w:val="28"/>
        </w:rPr>
        <w:t>信息系统的内部控制，建立交易、结算、财务数据的备份制度；</w:t>
      </w:r>
    </w:p>
    <w:p w14:paraId="05F78FFB">
      <w:pPr>
        <w:spacing w:beforeLines="50" w:afterLines="50"/>
        <w:ind w:firstLine="560" w:firstLineChars="200"/>
        <w:rPr>
          <w:rFonts w:ascii="仿宋_GB2312" w:eastAsia="仿宋_GB2312" w:cs="仿宋_GB2312"/>
          <w:b/>
          <w:sz w:val="28"/>
          <w:szCs w:val="28"/>
        </w:rPr>
      </w:pPr>
      <w:r>
        <w:rPr>
          <w:rFonts w:hint="eastAsia" w:ascii="仿宋_GB2312" w:eastAsia="仿宋_GB2312" w:cs="仿宋_GB2312"/>
          <w:sz w:val="28"/>
          <w:szCs w:val="28"/>
          <w:lang w:val="en-US" w:eastAsia="zh-CN"/>
        </w:rPr>
        <w:t>9.</w:t>
      </w:r>
      <w:r>
        <w:rPr>
          <w:rFonts w:hint="eastAsia" w:ascii="仿宋_GB2312" w:eastAsia="仿宋_GB2312" w:cs="仿宋_GB2312"/>
          <w:sz w:val="28"/>
          <w:szCs w:val="28"/>
        </w:rPr>
        <w:t>信息报送的内部控制，应按照规定及时向</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报送客户限购额度、客户分级、衍生品业务风险管理部负责人与联系人相关信息等资料，做好保证金封闭管理的相关数据报送，应保证报送的数据真实、准确、完整、及时。</w:t>
      </w:r>
    </w:p>
    <w:p w14:paraId="0921B67B">
      <w:pPr>
        <w:widowControl/>
        <w:spacing w:beforeLines="-2147483648" w:afterLines="-2147483648"/>
        <w:ind w:firstLine="560" w:firstLineChars="200"/>
        <w:jc w:val="left"/>
        <w:rPr>
          <w:rFonts w:ascii="Times New Roman" w:hAnsi="Times New Roman" w:eastAsia="楷体_GB2312" w:cs="Times New Roman"/>
          <w:b w:val="0"/>
          <w:bCs w:val="0"/>
          <w:sz w:val="28"/>
          <w:szCs w:val="28"/>
        </w:rPr>
      </w:pPr>
      <w:bookmarkStart w:id="57" w:name="_Toc452021113"/>
      <w:bookmarkStart w:id="58" w:name="_Toc452021452"/>
      <w:bookmarkStart w:id="59" w:name="_Toc12344"/>
      <w:bookmarkStart w:id="60" w:name="_Toc28415"/>
      <w:bookmarkStart w:id="61" w:name="_Toc14000"/>
      <w:bookmarkStart w:id="62" w:name="_Toc8576"/>
      <w:bookmarkStart w:id="63" w:name="_Toc8308"/>
      <w:r>
        <w:rPr>
          <w:rFonts w:hint="default" w:ascii="Times New Roman" w:hAnsi="Times New Roman" w:eastAsia="楷体_GB2312" w:cs="Times New Roman"/>
          <w:b w:val="0"/>
          <w:bCs w:val="0"/>
          <w:sz w:val="28"/>
          <w:szCs w:val="28"/>
        </w:rPr>
        <w:t>（四）风险管理岗位联系方式报备</w:t>
      </w:r>
      <w:bookmarkEnd w:id="57"/>
      <w:bookmarkEnd w:id="58"/>
      <w:bookmarkEnd w:id="59"/>
      <w:bookmarkEnd w:id="60"/>
      <w:bookmarkEnd w:id="61"/>
      <w:bookmarkEnd w:id="62"/>
      <w:bookmarkEnd w:id="63"/>
    </w:p>
    <w:p w14:paraId="50071E82">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期货公司应向</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报备以下人员联系方式（包括联系电话、手机、邮箱、传真等）：期权业务异常情况应急负责人、期权业务风险管理负责人、期权经纪业务风险管理联系人、期权做市业务风险管理联系人（如有做市业务）。上述人员</w:t>
      </w:r>
      <w:r>
        <w:rPr>
          <w:rFonts w:hint="eastAsia" w:ascii="仿宋_GB2312" w:eastAsia="仿宋_GB2312" w:cs="仿宋_GB2312"/>
          <w:sz w:val="28"/>
          <w:szCs w:val="28"/>
          <w:highlight w:val="none"/>
        </w:rPr>
        <w:t>或联系方式如有变更，应于工作日15:00-17:00通过</w:t>
      </w:r>
      <w:r>
        <w:rPr>
          <w:rFonts w:hint="default" w:ascii="Times New Roman" w:hAnsi="Times New Roman" w:eastAsia="仿宋_GB2312"/>
          <w:sz w:val="28"/>
          <w:szCs w:val="28"/>
          <w:highlight w:val="none"/>
        </w:rPr>
        <w:t>一网通办会员机构门户</w:t>
      </w:r>
      <w:r>
        <w:rPr>
          <w:rFonts w:hint="eastAsia" w:ascii="仿宋_GB2312" w:eastAsia="仿宋_GB2312" w:cs="仿宋_GB2312"/>
          <w:sz w:val="28"/>
          <w:szCs w:val="28"/>
          <w:highlight w:val="none"/>
        </w:rPr>
        <w:t>及时向本</w:t>
      </w:r>
      <w:r>
        <w:rPr>
          <w:rFonts w:hint="eastAsia" w:ascii="仿宋_GB2312" w:eastAsia="仿宋_GB2312" w:cs="仿宋_GB2312"/>
          <w:sz w:val="28"/>
          <w:szCs w:val="28"/>
        </w:rPr>
        <w:t>所更新。</w:t>
      </w:r>
    </w:p>
    <w:p w14:paraId="557C1F5B">
      <w:pPr>
        <w:ind w:firstLine="560"/>
        <w:rPr>
          <w:rFonts w:hint="eastAsia" w:ascii="Times New Roman" w:hAnsi="Times New Roman" w:eastAsia="黑体"/>
          <w:sz w:val="28"/>
          <w:szCs w:val="28"/>
        </w:rPr>
      </w:pPr>
      <w:bookmarkStart w:id="64" w:name="_Toc23946961"/>
      <w:bookmarkStart w:id="65" w:name="_Toc13142"/>
      <w:bookmarkStart w:id="66" w:name="_Toc3209"/>
      <w:bookmarkStart w:id="67" w:name="_Toc2604"/>
      <w:bookmarkStart w:id="68" w:name="_Toc10200"/>
      <w:bookmarkStart w:id="69" w:name="_Toc408749903"/>
      <w:r>
        <w:rPr>
          <w:rFonts w:hint="eastAsia" w:ascii="Times New Roman" w:hAnsi="Times New Roman" w:eastAsia="黑体"/>
          <w:sz w:val="28"/>
          <w:szCs w:val="28"/>
        </w:rPr>
        <w:t>五、技术系统</w:t>
      </w:r>
      <w:bookmarkEnd w:id="64"/>
      <w:bookmarkEnd w:id="65"/>
      <w:bookmarkEnd w:id="66"/>
      <w:bookmarkEnd w:id="67"/>
      <w:bookmarkEnd w:id="68"/>
      <w:bookmarkEnd w:id="69"/>
    </w:p>
    <w:p w14:paraId="023D471A">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（一）股票期权经纪业务系统。期货公司应建立股票期权经纪业务系统，支持客户开户、分级管理、交易及非交易指令、日终结算、强行平仓等业务功能。</w:t>
      </w:r>
    </w:p>
    <w:p w14:paraId="14DF471E">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（二）股票现货业务系统。期货公司应配置股票经纪业务系统，并根据期货公司现货业务范围，相应设置系统交易权限。</w:t>
      </w:r>
    </w:p>
    <w:p w14:paraId="3C6BE7C7">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（三）与登记结算相关的技术系统，支持股票期权和相关现货的清算、交收。</w:t>
      </w:r>
    </w:p>
    <w:p w14:paraId="1824D1B0">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（四）期货公司应配置相应的通讯与行情链路。</w:t>
      </w:r>
    </w:p>
    <w:p w14:paraId="3B82CB3B">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（五）本所股票期权业务要求的其他技术系统准备。</w:t>
      </w:r>
    </w:p>
    <w:p w14:paraId="01C89081">
      <w:pPr>
        <w:ind w:firstLine="560"/>
        <w:rPr>
          <w:rFonts w:hint="eastAsia" w:ascii="Times New Roman" w:hAnsi="Times New Roman" w:eastAsia="黑体"/>
          <w:sz w:val="28"/>
          <w:szCs w:val="28"/>
        </w:rPr>
      </w:pPr>
      <w:bookmarkStart w:id="70" w:name="_Toc23946962"/>
      <w:bookmarkStart w:id="71" w:name="_Toc31216"/>
      <w:bookmarkStart w:id="72" w:name="_Toc31491"/>
      <w:bookmarkStart w:id="73" w:name="_Toc408749904"/>
      <w:bookmarkStart w:id="74" w:name="_Toc29485"/>
      <w:bookmarkStart w:id="75" w:name="_Toc10557"/>
      <w:r>
        <w:rPr>
          <w:rFonts w:hint="eastAsia" w:ascii="Times New Roman" w:hAnsi="Times New Roman" w:eastAsia="黑体"/>
          <w:sz w:val="28"/>
          <w:szCs w:val="28"/>
        </w:rPr>
        <w:t>六、交易单元</w:t>
      </w:r>
      <w:bookmarkEnd w:id="70"/>
      <w:bookmarkEnd w:id="71"/>
      <w:bookmarkEnd w:id="72"/>
      <w:bookmarkEnd w:id="73"/>
      <w:bookmarkEnd w:id="74"/>
      <w:bookmarkEnd w:id="75"/>
    </w:p>
    <w:p w14:paraId="1F7A9DAC">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期货公司申请成为本所期权交易参与人后，可申请交易单元从事股票期权经纪业务，以及与股票期权备兑开仓、行权相关的证券现货经纪业务。期货公司需要对证券现货交易进行前端控制（仅限交易与股票期权相关标的）。如果标的是交易所交易基金的，只能做二级市场份额买卖，不能在一级市场进行申赎。期货公司交易单元收费比照会员收取，包括使用费、流量费、流速费。</w:t>
      </w:r>
    </w:p>
    <w:p w14:paraId="1F4EDD97">
      <w:pPr>
        <w:jc w:val="center"/>
        <w:outlineLvl w:val="0"/>
        <w:rPr>
          <w:rFonts w:ascii="Times New Roman" w:hAnsi="Times New Roman" w:eastAsia="黑体"/>
          <w:b/>
          <w:bCs/>
          <w:sz w:val="30"/>
          <w:szCs w:val="24"/>
        </w:rPr>
      </w:pPr>
      <w:bookmarkStart w:id="76" w:name="_Toc406439133"/>
      <w:bookmarkStart w:id="77" w:name="_Toc406436499"/>
      <w:bookmarkStart w:id="78" w:name="_Toc406438948"/>
      <w:bookmarkStart w:id="79" w:name="_Toc406438879"/>
    </w:p>
    <w:p w14:paraId="29A52464">
      <w:pPr>
        <w:pStyle w:val="2"/>
        <w:rPr>
          <w:rFonts w:ascii="Times New Roman" w:hAnsi="Times New Roman" w:eastAsia="黑体"/>
          <w:b/>
          <w:bCs/>
          <w:sz w:val="30"/>
          <w:szCs w:val="24"/>
        </w:rPr>
      </w:pPr>
    </w:p>
    <w:p w14:paraId="6EFAA74B">
      <w:pPr>
        <w:pStyle w:val="2"/>
        <w:rPr>
          <w:rFonts w:ascii="Times New Roman" w:hAnsi="Times New Roman" w:eastAsia="黑体"/>
          <w:b/>
          <w:bCs/>
          <w:sz w:val="30"/>
          <w:szCs w:val="24"/>
        </w:rPr>
      </w:pPr>
    </w:p>
    <w:p w14:paraId="77C59554">
      <w:pPr>
        <w:pStyle w:val="5"/>
        <w:ind w:firstLine="0" w:firstLineChars="0"/>
        <w:jc w:val="center"/>
        <w:rPr>
          <w:rFonts w:hint="eastAsia" w:ascii="黑体" w:hAnsi="黑体" w:eastAsia="黑体"/>
          <w:sz w:val="32"/>
          <w:lang w:val="en-US" w:eastAsia="zh-CN"/>
        </w:rPr>
      </w:pPr>
      <w:bookmarkStart w:id="80" w:name="_Toc408749905"/>
      <w:bookmarkStart w:id="81" w:name="_Toc23946963"/>
      <w:bookmarkStart w:id="82" w:name="_Toc21916"/>
      <w:bookmarkStart w:id="83" w:name="_Toc20475"/>
      <w:bookmarkStart w:id="84" w:name="_Toc408300969"/>
      <w:bookmarkStart w:id="85" w:name="_Toc8350"/>
      <w:bookmarkStart w:id="86" w:name="_Toc13386"/>
      <w:r>
        <w:rPr>
          <w:rFonts w:hint="eastAsia" w:ascii="黑体" w:hAnsi="黑体" w:eastAsia="黑体"/>
          <w:sz w:val="32"/>
        </w:rPr>
        <w:t>第二章</w:t>
      </w:r>
      <w:r>
        <w:rPr>
          <w:rFonts w:ascii="黑体" w:hAnsi="黑体" w:eastAsia="黑体"/>
          <w:sz w:val="32"/>
        </w:rPr>
        <w:t xml:space="preserve"> 股票期权</w:t>
      </w:r>
      <w:r>
        <w:rPr>
          <w:rFonts w:hint="eastAsia" w:ascii="黑体" w:hAnsi="黑体" w:eastAsia="黑体"/>
          <w:sz w:val="32"/>
        </w:rPr>
        <w:t>经纪业务申请</w:t>
      </w:r>
      <w:bookmarkEnd w:id="76"/>
      <w:bookmarkEnd w:id="77"/>
      <w:bookmarkEnd w:id="78"/>
      <w:bookmarkEnd w:id="79"/>
      <w:bookmarkEnd w:id="80"/>
      <w:bookmarkEnd w:id="81"/>
      <w:bookmarkEnd w:id="82"/>
      <w:bookmarkEnd w:id="83"/>
      <w:bookmarkEnd w:id="84"/>
      <w:bookmarkEnd w:id="85"/>
      <w:bookmarkEnd w:id="86"/>
    </w:p>
    <w:p w14:paraId="7D03B4A8">
      <w:pPr>
        <w:ind w:firstLine="560" w:firstLineChars="200"/>
        <w:rPr>
          <w:rFonts w:ascii="仿宋_GB2312" w:eastAsia="仿宋_GB2312"/>
          <w:color w:val="000000"/>
          <w:sz w:val="28"/>
          <w:szCs w:val="28"/>
        </w:rPr>
      </w:pPr>
      <w:r>
        <w:rPr>
          <w:rFonts w:hint="eastAsia" w:ascii="仿宋_GB2312" w:eastAsia="仿宋_GB2312"/>
          <w:color w:val="000000"/>
          <w:sz w:val="28"/>
          <w:szCs w:val="28"/>
        </w:rPr>
        <w:t>符合《证券期货经营机构参与股票期权交易试点指引》、《交易规则》相关要求的期货公司可以向本所申请股票期权经纪业务资格，具体流程如下：</w:t>
      </w:r>
    </w:p>
    <w:p w14:paraId="0B6F3B72">
      <w:pPr>
        <w:pStyle w:val="5"/>
        <w:ind w:firstLine="562"/>
      </w:pPr>
      <w:bookmarkStart w:id="87" w:name="_Toc23946964"/>
      <w:bookmarkStart w:id="88" w:name="_Toc408749906"/>
      <w:bookmarkStart w:id="89" w:name="_Toc9105"/>
      <w:bookmarkStart w:id="90" w:name="_Toc13601"/>
      <w:bookmarkStart w:id="91" w:name="_Toc15583"/>
      <w:bookmarkStart w:id="92" w:name="_Toc7512"/>
      <w:bookmarkStart w:id="93" w:name="_Toc406438881"/>
      <w:bookmarkStart w:id="94" w:name="_Toc408300970"/>
      <w:r>
        <w:rPr>
          <w:rFonts w:hint="eastAsia"/>
        </w:rPr>
        <w:t>一、申请本所</w:t>
      </w:r>
      <w:r>
        <w:rPr>
          <w:rFonts w:hint="eastAsia"/>
          <w:lang w:eastAsia="zh-CN"/>
        </w:rPr>
        <w:t>会员业务</w:t>
      </w:r>
      <w:r>
        <w:rPr>
          <w:rFonts w:hint="eastAsia"/>
        </w:rPr>
        <w:t>数字证书</w:t>
      </w:r>
      <w:bookmarkEnd w:id="87"/>
      <w:bookmarkEnd w:id="88"/>
      <w:bookmarkEnd w:id="89"/>
      <w:bookmarkEnd w:id="90"/>
      <w:bookmarkEnd w:id="91"/>
      <w:bookmarkEnd w:id="92"/>
    </w:p>
    <w:p w14:paraId="1ACF56AF">
      <w:pPr>
        <w:ind w:firstLine="560" w:firstLineChars="200"/>
        <w:rPr>
          <w:rFonts w:ascii="仿宋_GB2312" w:eastAsia="仿宋_GB2312"/>
          <w:color w:val="000000"/>
          <w:sz w:val="28"/>
          <w:szCs w:val="28"/>
        </w:rPr>
      </w:pPr>
      <w:r>
        <w:rPr>
          <w:rFonts w:hint="eastAsia" w:ascii="仿宋_GB2312" w:eastAsia="仿宋_GB2312"/>
          <w:color w:val="000000"/>
          <w:sz w:val="28"/>
          <w:szCs w:val="28"/>
        </w:rPr>
        <w:t>申请数字证书的程序如下：</w:t>
      </w:r>
    </w:p>
    <w:p w14:paraId="3B14711C">
      <w:pPr>
        <w:ind w:firstLine="560" w:firstLineChars="200"/>
        <w:rPr>
          <w:rFonts w:ascii="仿宋_GB2312" w:eastAsia="仿宋_GB2312"/>
          <w:color w:val="000000"/>
          <w:sz w:val="28"/>
          <w:szCs w:val="28"/>
        </w:rPr>
      </w:pPr>
      <w:r>
        <w:rPr>
          <w:rFonts w:hint="eastAsia" w:ascii="仿宋_GB2312" w:eastAsia="仿宋_GB2312"/>
          <w:color w:val="000000"/>
          <w:sz w:val="28"/>
          <w:szCs w:val="28"/>
        </w:rPr>
        <w:t>1.账号申请</w:t>
      </w:r>
    </w:p>
    <w:p w14:paraId="6052FD76">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期货公司可在本所网站技术服务专区的CA证书服务阅读相关申请流程，通过CA在线业务系统(https://cnsca.sse.com.cn)</w:t>
      </w:r>
      <w:r>
        <w:rPr>
          <w:rFonts w:hint="eastAsia" w:ascii="仿宋_GB2312" w:eastAsia="仿宋_GB2312"/>
          <w:color w:val="000000"/>
          <w:sz w:val="28"/>
          <w:szCs w:val="28"/>
          <w:lang w:val="en-US" w:eastAsia="zh-CN"/>
        </w:rPr>
        <w:t>-我的申请-选择证书类型“业务管理系统平台会员业务模块”</w:t>
      </w:r>
      <w:r>
        <w:rPr>
          <w:rFonts w:hint="eastAsia" w:ascii="仿宋_GB2312" w:eastAsia="仿宋_GB2312"/>
          <w:color w:val="000000"/>
          <w:sz w:val="28"/>
          <w:szCs w:val="28"/>
        </w:rPr>
        <w:t>发起申请，按</w:t>
      </w:r>
      <w:r>
        <w:rPr>
          <w:rFonts w:hint="eastAsia" w:ascii="仿宋_GB2312" w:eastAsia="仿宋_GB2312"/>
          <w:color w:val="000000"/>
          <w:sz w:val="28"/>
          <w:szCs w:val="28"/>
          <w:lang w:eastAsia="zh-CN"/>
        </w:rPr>
        <w:t>页面</w:t>
      </w:r>
      <w:r>
        <w:rPr>
          <w:rFonts w:hint="eastAsia" w:ascii="仿宋_GB2312" w:eastAsia="仿宋_GB2312"/>
          <w:color w:val="000000"/>
          <w:sz w:val="28"/>
          <w:szCs w:val="28"/>
        </w:rPr>
        <w:t>要求填报提交材料包括《CnSCA数字证书申请表》、《CnSCA数字证书申请责任书》、授权</w:t>
      </w:r>
      <w:r>
        <w:rPr>
          <w:rFonts w:hint="eastAsia" w:ascii="仿宋_GB2312" w:eastAsia="仿宋_GB2312"/>
          <w:color w:val="000000"/>
          <w:sz w:val="28"/>
          <w:szCs w:val="28"/>
          <w:lang w:eastAsia="zh-CN"/>
        </w:rPr>
        <w:t>证明等</w:t>
      </w:r>
      <w:r>
        <w:rPr>
          <w:rFonts w:hint="eastAsia" w:ascii="仿宋_GB2312" w:eastAsia="仿宋_GB2312"/>
          <w:color w:val="000000"/>
          <w:sz w:val="28"/>
          <w:szCs w:val="28"/>
        </w:rPr>
        <w:t>。</w:t>
      </w:r>
    </w:p>
    <w:p w14:paraId="7063CE7B">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注册用户口令登录提交</w:t>
      </w:r>
      <w:r>
        <w:rPr>
          <w:rFonts w:hint="eastAsia" w:ascii="仿宋_GB2312" w:eastAsia="仿宋_GB2312"/>
          <w:color w:val="000000"/>
          <w:sz w:val="28"/>
          <w:szCs w:val="28"/>
          <w:lang w:eastAsia="zh-CN"/>
        </w:rPr>
        <w:t>的证书</w:t>
      </w:r>
      <w:r>
        <w:rPr>
          <w:rFonts w:hint="eastAsia" w:ascii="仿宋_GB2312" w:eastAsia="仿宋_GB2312"/>
          <w:color w:val="000000"/>
          <w:sz w:val="28"/>
          <w:szCs w:val="28"/>
        </w:rPr>
        <w:t>申请，需将上述</w:t>
      </w:r>
      <w:r>
        <w:rPr>
          <w:rFonts w:hint="eastAsia" w:ascii="仿宋_GB2312" w:eastAsia="仿宋_GB2312"/>
          <w:color w:val="000000"/>
          <w:sz w:val="28"/>
          <w:szCs w:val="28"/>
          <w:lang w:eastAsia="zh-CN"/>
        </w:rPr>
        <w:t>证书</w:t>
      </w:r>
      <w:r>
        <w:rPr>
          <w:rFonts w:hint="eastAsia" w:ascii="仿宋_GB2312" w:eastAsia="仿宋_GB2312"/>
          <w:color w:val="000000"/>
          <w:sz w:val="28"/>
          <w:szCs w:val="28"/>
        </w:rPr>
        <w:t>申请材料原件寄送至本所信息公司CA中心。</w:t>
      </w:r>
      <w:r>
        <w:rPr>
          <w:rFonts w:hint="eastAsia" w:ascii="仿宋_GB2312" w:eastAsia="仿宋_GB2312"/>
          <w:color w:val="000000"/>
          <w:sz w:val="28"/>
          <w:szCs w:val="28"/>
          <w:lang w:eastAsia="zh-CN"/>
        </w:rPr>
        <w:t>收件地址：上海市浦东新区浦东南路528号上海证券大厦南塔12楼；收件人：</w:t>
      </w:r>
      <w:r>
        <w:rPr>
          <w:rFonts w:hint="eastAsia" w:ascii="仿宋_GB2312" w:eastAsia="仿宋_GB2312"/>
          <w:color w:val="000000"/>
          <w:sz w:val="28"/>
          <w:szCs w:val="28"/>
          <w:lang w:val="en-US" w:eastAsia="zh-CN"/>
        </w:rPr>
        <w:t>CA中心；电话：4008888400按键2-5。</w:t>
      </w:r>
    </w:p>
    <w:p w14:paraId="4EF82875">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2</w:t>
      </w:r>
      <w:r>
        <w:rPr>
          <w:rFonts w:hint="eastAsia" w:ascii="仿宋_GB2312" w:eastAsia="仿宋_GB2312"/>
          <w:color w:val="000000"/>
          <w:sz w:val="28"/>
          <w:szCs w:val="28"/>
        </w:rPr>
        <w:t>.领取证书</w:t>
      </w:r>
    </w:p>
    <w:p w14:paraId="262DD16E">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lang w:val="en-US" w:eastAsia="zh-CN"/>
        </w:rPr>
        <w:t>业务受理通过后CA中心制作并签发证书，领取方式按申请填报内容中选择的邮寄或通知来人领取。</w:t>
      </w:r>
    </w:p>
    <w:p w14:paraId="1C999200">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3</w:t>
      </w:r>
      <w:r>
        <w:rPr>
          <w:rFonts w:hint="eastAsia" w:ascii="仿宋_GB2312" w:eastAsia="仿宋_GB2312"/>
          <w:color w:val="000000"/>
          <w:sz w:val="28"/>
          <w:szCs w:val="28"/>
        </w:rPr>
        <w:t>.安装驱动程序</w:t>
      </w:r>
    </w:p>
    <w:p w14:paraId="61E71BBE">
      <w:pPr>
        <w:ind w:firstLine="560" w:firstLineChars="200"/>
        <w:rPr>
          <w:rFonts w:ascii="仿宋_GB2312" w:eastAsia="仿宋_GB2312"/>
          <w:color w:val="000000"/>
          <w:sz w:val="28"/>
          <w:szCs w:val="28"/>
        </w:rPr>
      </w:pPr>
      <w:r>
        <w:rPr>
          <w:rFonts w:hint="eastAsia" w:ascii="仿宋_GB2312" w:eastAsia="仿宋_GB2312"/>
          <w:color w:val="000000"/>
          <w:sz w:val="28"/>
          <w:szCs w:val="28"/>
        </w:rPr>
        <w:t>进入下载地址，根据型号下载驱动（下载地址：http://www.sse.com.cn/home/biz/cnsca/download/driverstools/index.shtml）。</w:t>
      </w:r>
    </w:p>
    <w:p w14:paraId="143018DC">
      <w:pPr>
        <w:pStyle w:val="5"/>
        <w:ind w:firstLine="562"/>
      </w:pPr>
      <w:bookmarkStart w:id="95" w:name="_Toc23946965"/>
      <w:r>
        <w:rPr>
          <w:rFonts w:hint="eastAsia"/>
        </w:rPr>
        <w:t>二、期货公司登记</w:t>
      </w:r>
      <w:bookmarkEnd w:id="95"/>
    </w:p>
    <w:p w14:paraId="0E2997E1">
      <w:pPr>
        <w:ind w:firstLine="561" w:firstLineChars="200"/>
        <w:rPr>
          <w:rFonts w:ascii="仿宋_GB2312" w:eastAsia="仿宋_GB2312"/>
          <w:color w:val="000000"/>
          <w:sz w:val="28"/>
          <w:szCs w:val="28"/>
        </w:rPr>
      </w:pPr>
      <w:r>
        <w:rPr>
          <w:rFonts w:hint="eastAsia" w:ascii="仿宋_GB2312" w:eastAsia="仿宋_GB2312"/>
          <w:b/>
          <w:color w:val="000000"/>
          <w:sz w:val="28"/>
          <w:szCs w:val="28"/>
        </w:rPr>
        <w:t>（一）所需材料及材料要求</w:t>
      </w:r>
    </w:p>
    <w:p w14:paraId="5D4CC174">
      <w:pPr>
        <w:ind w:firstLine="560" w:firstLineChars="200"/>
        <w:rPr>
          <w:rFonts w:ascii="仿宋_GB2312" w:eastAsia="仿宋_GB2312"/>
          <w:color w:val="000000"/>
          <w:sz w:val="28"/>
          <w:szCs w:val="28"/>
        </w:rPr>
      </w:pPr>
      <w:r>
        <w:rPr>
          <w:rFonts w:hint="eastAsia" w:ascii="仿宋_GB2312" w:eastAsia="仿宋_GB2312"/>
          <w:color w:val="000000"/>
          <w:sz w:val="28"/>
          <w:szCs w:val="28"/>
        </w:rPr>
        <w:t>向本所提交的材料具体如下：</w:t>
      </w:r>
    </w:p>
    <w:p w14:paraId="61089D89">
      <w:pPr>
        <w:numPr>
          <w:ilvl w:val="0"/>
          <w:numId w:val="1"/>
        </w:numPr>
        <w:rPr>
          <w:rFonts w:ascii="仿宋_GB2312" w:eastAsia="仿宋_GB2312"/>
          <w:color w:val="000000"/>
          <w:sz w:val="28"/>
          <w:szCs w:val="28"/>
        </w:rPr>
      </w:pPr>
      <w:r>
        <w:rPr>
          <w:rFonts w:hint="eastAsia" w:ascii="仿宋_GB2312" w:eastAsia="仿宋_GB2312"/>
          <w:color w:val="000000"/>
          <w:sz w:val="28"/>
          <w:szCs w:val="28"/>
        </w:rPr>
        <w:t>主管机关同意公司设立的批复（加盖公章）；</w:t>
      </w:r>
    </w:p>
    <w:p w14:paraId="24B17121">
      <w:pPr>
        <w:numPr>
          <w:ilvl w:val="0"/>
          <w:numId w:val="1"/>
        </w:numPr>
        <w:rPr>
          <w:rFonts w:ascii="仿宋_GB2312" w:eastAsia="仿宋_GB2312"/>
          <w:color w:val="000000"/>
          <w:sz w:val="28"/>
          <w:szCs w:val="28"/>
        </w:rPr>
      </w:pPr>
      <w:r>
        <w:rPr>
          <w:rFonts w:hint="eastAsia" w:ascii="仿宋_GB2312" w:eastAsia="仿宋_GB2312"/>
          <w:color w:val="000000"/>
          <w:sz w:val="28"/>
          <w:szCs w:val="28"/>
        </w:rPr>
        <w:t>金融许可证（加盖公章）；</w:t>
      </w:r>
    </w:p>
    <w:p w14:paraId="2600A5F6">
      <w:pPr>
        <w:ind w:firstLine="560" w:firstLineChars="200"/>
        <w:rPr>
          <w:rFonts w:ascii="仿宋_GB2312" w:eastAsia="仿宋_GB2312"/>
          <w:color w:val="000000"/>
          <w:sz w:val="28"/>
          <w:szCs w:val="28"/>
        </w:rPr>
      </w:pPr>
      <w:r>
        <w:rPr>
          <w:rFonts w:hint="eastAsia" w:ascii="仿宋_GB2312" w:eastAsia="仿宋_GB2312"/>
          <w:color w:val="000000"/>
          <w:sz w:val="28"/>
          <w:szCs w:val="28"/>
        </w:rPr>
        <w:t>3.企业法人营业执照（加盖公章）；</w:t>
      </w:r>
    </w:p>
    <w:p w14:paraId="2F760B48">
      <w:pPr>
        <w:ind w:firstLine="560" w:firstLineChars="200"/>
        <w:rPr>
          <w:rFonts w:ascii="仿宋_GB2312" w:eastAsia="仿宋_GB2312"/>
          <w:color w:val="000000"/>
          <w:sz w:val="28"/>
          <w:szCs w:val="28"/>
        </w:rPr>
      </w:pPr>
      <w:r>
        <w:rPr>
          <w:rFonts w:hint="eastAsia" w:ascii="仿宋_GB2312" w:eastAsia="仿宋_GB2312"/>
          <w:color w:val="000000"/>
          <w:sz w:val="28"/>
          <w:szCs w:val="28"/>
        </w:rPr>
        <w:t>4.申请报告（加盖公章）；</w:t>
      </w:r>
    </w:p>
    <w:p w14:paraId="298667EE">
      <w:pPr>
        <w:ind w:firstLine="560" w:firstLineChars="200"/>
        <w:rPr>
          <w:rFonts w:ascii="仿宋_GB2312" w:eastAsia="仿宋_GB2312"/>
          <w:color w:val="000000"/>
          <w:sz w:val="28"/>
          <w:szCs w:val="28"/>
        </w:rPr>
      </w:pPr>
      <w:r>
        <w:rPr>
          <w:rFonts w:hint="eastAsia" w:ascii="仿宋_GB2312" w:eastAsia="仿宋_GB2312"/>
          <w:color w:val="000000"/>
          <w:sz w:val="28"/>
          <w:szCs w:val="28"/>
        </w:rPr>
        <w:t>5.专职人员及主要管理人员概况；</w:t>
      </w:r>
    </w:p>
    <w:p w14:paraId="0F357644">
      <w:pPr>
        <w:ind w:firstLine="560" w:firstLineChars="200"/>
        <w:rPr>
          <w:rFonts w:ascii="仿宋_GB2312" w:eastAsia="仿宋_GB2312"/>
          <w:color w:val="000000"/>
          <w:sz w:val="28"/>
          <w:szCs w:val="28"/>
        </w:rPr>
      </w:pPr>
      <w:r>
        <w:rPr>
          <w:rFonts w:hint="eastAsia" w:ascii="仿宋_GB2312" w:eastAsia="仿宋_GB2312"/>
          <w:color w:val="000000"/>
          <w:sz w:val="28"/>
          <w:szCs w:val="28"/>
        </w:rPr>
        <w:t>6.公司章程；</w:t>
      </w:r>
    </w:p>
    <w:p w14:paraId="0C877F0E">
      <w:pPr>
        <w:ind w:firstLine="560" w:firstLineChars="200"/>
        <w:rPr>
          <w:rFonts w:ascii="仿宋_GB2312" w:eastAsia="仿宋_GB2312"/>
          <w:color w:val="000000"/>
          <w:sz w:val="28"/>
          <w:szCs w:val="28"/>
        </w:rPr>
      </w:pPr>
      <w:r>
        <w:rPr>
          <w:rFonts w:hint="eastAsia" w:ascii="仿宋_GB2312" w:eastAsia="仿宋_GB2312"/>
          <w:color w:val="000000"/>
          <w:sz w:val="28"/>
          <w:szCs w:val="28"/>
        </w:rPr>
        <w:t>7.公司内控制度。</w:t>
      </w:r>
    </w:p>
    <w:p w14:paraId="26484ED8">
      <w:pPr>
        <w:ind w:firstLine="561" w:firstLineChars="200"/>
        <w:rPr>
          <w:rFonts w:ascii="仿宋_GB2312" w:eastAsia="仿宋_GB2312"/>
          <w:b/>
          <w:color w:val="000000"/>
          <w:sz w:val="28"/>
          <w:szCs w:val="28"/>
        </w:rPr>
      </w:pPr>
      <w:r>
        <w:rPr>
          <w:rFonts w:hint="eastAsia" w:ascii="仿宋_GB2312" w:eastAsia="仿宋_GB2312"/>
          <w:b/>
          <w:color w:val="000000"/>
          <w:sz w:val="28"/>
          <w:szCs w:val="28"/>
        </w:rPr>
        <w:t>（二）材料提交方式</w:t>
      </w:r>
    </w:p>
    <w:p w14:paraId="34B64A4F">
      <w:pPr>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rPr>
        <w:t>期货公司使用</w:t>
      </w:r>
      <w:r>
        <w:rPr>
          <w:rFonts w:hint="eastAsia" w:ascii="仿宋_GB2312" w:eastAsia="仿宋_GB2312"/>
          <w:color w:val="000000"/>
          <w:sz w:val="28"/>
          <w:szCs w:val="28"/>
          <w:lang w:val="en-US" w:eastAsia="zh-CN"/>
        </w:rPr>
        <w:t>CA证书</w:t>
      </w:r>
      <w:r>
        <w:rPr>
          <w:rFonts w:hint="eastAsia" w:ascii="仿宋_GB2312" w:eastAsia="仿宋_GB2312"/>
          <w:color w:val="000000"/>
          <w:sz w:val="28"/>
          <w:szCs w:val="28"/>
        </w:rPr>
        <w:t>登陆上交所</w:t>
      </w:r>
      <w:r>
        <w:rPr>
          <w:rFonts w:hint="eastAsia" w:ascii="仿宋_GB2312" w:eastAsia="仿宋_GB2312"/>
          <w:color w:val="000000"/>
          <w:sz w:val="28"/>
          <w:szCs w:val="28"/>
          <w:highlight w:val="none"/>
          <w:lang w:val="en-US" w:eastAsia="zh-CN"/>
        </w:rPr>
        <w:t>一网通办平台，通过一网通办</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rPr>
        <w:t>会员机构</w:t>
      </w:r>
      <w:r>
        <w:rPr>
          <w:rFonts w:hint="eastAsia" w:ascii="仿宋_GB2312" w:eastAsia="仿宋_GB2312"/>
          <w:color w:val="000000"/>
          <w:sz w:val="28"/>
          <w:szCs w:val="28"/>
          <w:highlight w:val="none"/>
          <w:lang w:val="en-US" w:eastAsia="zh-CN"/>
        </w:rPr>
        <w:t>门户</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rPr>
        <w:t>业务办理</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lang w:val="en-US" w:eastAsia="zh-CN"/>
        </w:rPr>
        <w:t>机构业务</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rPr>
        <w:t>机构新设功能发起申请，上传以上材料。</w:t>
      </w:r>
    </w:p>
    <w:p w14:paraId="714333D0">
      <w:pPr>
        <w:ind w:firstLine="560" w:firstLineChars="200"/>
        <w:rPr>
          <w:rFonts w:ascii="仿宋_GB2312" w:eastAsia="仿宋_GB2312"/>
          <w:color w:val="000000"/>
          <w:sz w:val="28"/>
          <w:szCs w:val="28"/>
        </w:rPr>
      </w:pPr>
      <w:r>
        <w:rPr>
          <w:rFonts w:hint="eastAsia" w:ascii="仿宋_GB2312" w:eastAsia="仿宋_GB2312"/>
          <w:color w:val="000000"/>
          <w:sz w:val="28"/>
          <w:szCs w:val="28"/>
        </w:rPr>
        <w:t>申请材料须为PDF形式的电子扫描件。</w:t>
      </w:r>
    </w:p>
    <w:p w14:paraId="10318F9E">
      <w:pPr>
        <w:pStyle w:val="5"/>
        <w:ind w:firstLine="562"/>
      </w:pPr>
      <w:bookmarkStart w:id="96" w:name="_Toc23946966"/>
      <w:r>
        <w:rPr>
          <w:rFonts w:hint="eastAsia"/>
        </w:rPr>
        <w:t>三、交易单元新设</w:t>
      </w:r>
      <w:bookmarkEnd w:id="96"/>
    </w:p>
    <w:p w14:paraId="28021EC5">
      <w:pPr>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期货公司申请交易单元，</w:t>
      </w:r>
      <w:r>
        <w:rPr>
          <w:rFonts w:hint="eastAsia" w:ascii="仿宋_GB2312" w:eastAsia="仿宋_GB2312"/>
          <w:color w:val="000000"/>
          <w:sz w:val="28"/>
          <w:szCs w:val="28"/>
          <w:highlight w:val="none"/>
          <w:lang w:val="en-US" w:eastAsia="zh-CN"/>
        </w:rPr>
        <w:t>CA证书</w:t>
      </w:r>
      <w:r>
        <w:rPr>
          <w:rFonts w:hint="eastAsia" w:ascii="仿宋_GB2312" w:eastAsia="仿宋_GB2312"/>
          <w:color w:val="000000"/>
          <w:sz w:val="28"/>
          <w:szCs w:val="28"/>
          <w:highlight w:val="none"/>
        </w:rPr>
        <w:t>登陆上交所</w:t>
      </w:r>
      <w:r>
        <w:rPr>
          <w:rFonts w:hint="eastAsia" w:ascii="仿宋_GB2312" w:eastAsia="仿宋_GB2312"/>
          <w:color w:val="000000"/>
          <w:sz w:val="28"/>
          <w:szCs w:val="28"/>
          <w:highlight w:val="none"/>
          <w:lang w:val="en-US" w:eastAsia="zh-CN"/>
        </w:rPr>
        <w:t>一网通办平台</w:t>
      </w:r>
      <w:r>
        <w:rPr>
          <w:rFonts w:hint="eastAsia" w:ascii="仿宋_GB2312" w:eastAsia="仿宋_GB2312"/>
          <w:color w:val="000000"/>
          <w:sz w:val="28"/>
          <w:szCs w:val="28"/>
          <w:highlight w:val="none"/>
        </w:rPr>
        <w:t>，通过</w:t>
      </w:r>
      <w:r>
        <w:rPr>
          <w:rFonts w:hint="eastAsia" w:ascii="仿宋_GB2312" w:eastAsia="仿宋_GB2312"/>
          <w:color w:val="000000"/>
          <w:sz w:val="28"/>
          <w:szCs w:val="28"/>
          <w:highlight w:val="none"/>
          <w:lang w:val="en-US" w:eastAsia="zh-CN"/>
        </w:rPr>
        <w:t>一网通办</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rPr>
        <w:t>会员</w:t>
      </w:r>
      <w:r>
        <w:rPr>
          <w:rFonts w:hint="eastAsia" w:ascii="仿宋_GB2312" w:eastAsia="仿宋_GB2312"/>
          <w:color w:val="000000"/>
          <w:sz w:val="28"/>
          <w:szCs w:val="28"/>
          <w:highlight w:val="none"/>
          <w:lang w:val="en-US" w:eastAsia="zh-CN"/>
        </w:rPr>
        <w:t>机构门户</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rPr>
        <w:t>业务办理</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lang w:val="en-US" w:eastAsia="zh-CN"/>
        </w:rPr>
        <w:t>交易单元业务</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lang w:val="en-US" w:eastAsia="zh-CN"/>
        </w:rPr>
        <w:t>机构A股</w:t>
      </w:r>
      <w:r>
        <w:rPr>
          <w:rFonts w:hint="eastAsia" w:ascii="仿宋_GB2312" w:eastAsia="仿宋_GB2312"/>
          <w:color w:val="000000"/>
          <w:sz w:val="28"/>
          <w:szCs w:val="28"/>
          <w:highlight w:val="none"/>
        </w:rPr>
        <w:t>交易单元新设提交交易单元新设申请。</w:t>
      </w:r>
    </w:p>
    <w:p w14:paraId="356E585F">
      <w:pPr>
        <w:pStyle w:val="5"/>
        <w:ind w:firstLine="562"/>
      </w:pPr>
      <w:bookmarkStart w:id="97" w:name="_Toc23946967"/>
      <w:r>
        <w:rPr>
          <w:rFonts w:hint="eastAsia"/>
        </w:rPr>
        <w:t>四</w:t>
      </w:r>
      <w:bookmarkStart w:id="98" w:name="_Toc25698"/>
      <w:bookmarkStart w:id="99" w:name="_Toc29757"/>
      <w:bookmarkStart w:id="100" w:name="_Toc27967"/>
      <w:bookmarkStart w:id="101" w:name="_Toc2274"/>
      <w:bookmarkStart w:id="102" w:name="_Toc408749907"/>
      <w:r>
        <w:rPr>
          <w:rFonts w:hint="eastAsia"/>
        </w:rPr>
        <w:t>、申请</w:t>
      </w:r>
      <w:bookmarkEnd w:id="93"/>
      <w:r>
        <w:rPr>
          <w:rFonts w:hint="eastAsia"/>
        </w:rPr>
        <w:t>股票期权</w:t>
      </w:r>
      <w:bookmarkEnd w:id="94"/>
      <w:r>
        <w:rPr>
          <w:rFonts w:hint="eastAsia"/>
        </w:rPr>
        <w:t>交易参与人</w:t>
      </w:r>
      <w:bookmarkEnd w:id="97"/>
      <w:bookmarkEnd w:id="98"/>
      <w:bookmarkEnd w:id="99"/>
      <w:bookmarkEnd w:id="100"/>
      <w:bookmarkEnd w:id="101"/>
      <w:bookmarkEnd w:id="102"/>
    </w:p>
    <w:p w14:paraId="5AE8E1A2">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申请从事本所股票期权经纪业务试点，应当确认符合中国结算参与人资格后，向本所提交申请股票期权经纪业务的材料,以获得本所交易参与人资格；同时应当向中国结算申请结算参与人资格，结算参与人资格的申请材料由中国结算规定。具体要求由中国结算规定。</w:t>
      </w:r>
    </w:p>
    <w:p w14:paraId="202F1EA2">
      <w:pPr>
        <w:ind w:firstLine="561" w:firstLineChars="200"/>
        <w:rPr>
          <w:rFonts w:ascii="仿宋_GB2312" w:eastAsia="仿宋_GB2312"/>
          <w:color w:val="000000"/>
          <w:sz w:val="28"/>
          <w:szCs w:val="28"/>
        </w:rPr>
      </w:pPr>
      <w:r>
        <w:rPr>
          <w:rFonts w:hint="eastAsia" w:ascii="仿宋_GB2312" w:eastAsia="仿宋_GB2312"/>
          <w:b/>
          <w:color w:val="000000"/>
          <w:sz w:val="28"/>
          <w:szCs w:val="28"/>
        </w:rPr>
        <w:t>（一）所需材料及材料要求</w:t>
      </w:r>
    </w:p>
    <w:p w14:paraId="646AC36F">
      <w:pPr>
        <w:ind w:firstLine="560" w:firstLineChars="200"/>
        <w:rPr>
          <w:rFonts w:ascii="仿宋_GB2312" w:eastAsia="仿宋_GB2312"/>
          <w:color w:val="000000"/>
          <w:sz w:val="28"/>
          <w:szCs w:val="28"/>
        </w:rPr>
      </w:pPr>
      <w:r>
        <w:rPr>
          <w:rFonts w:hint="eastAsia" w:ascii="仿宋_GB2312" w:eastAsia="仿宋_GB2312"/>
          <w:color w:val="000000"/>
          <w:sz w:val="28"/>
          <w:szCs w:val="28"/>
        </w:rPr>
        <w:t>向本所提交的股票期权经纪业务交易参与人资格材料具体如下：</w:t>
      </w:r>
    </w:p>
    <w:p w14:paraId="5F6681D2">
      <w:pPr>
        <w:ind w:firstLine="560" w:firstLineChars="200"/>
        <w:rPr>
          <w:rFonts w:ascii="仿宋_GB2312" w:eastAsia="仿宋_GB2312"/>
          <w:color w:val="000000"/>
          <w:sz w:val="28"/>
          <w:szCs w:val="28"/>
        </w:rPr>
      </w:pPr>
      <w:r>
        <w:rPr>
          <w:rFonts w:hint="eastAsia" w:ascii="仿宋_GB2312" w:eastAsia="仿宋_GB2312"/>
          <w:color w:val="000000"/>
          <w:sz w:val="28"/>
          <w:szCs w:val="28"/>
        </w:rPr>
        <w:t>1.股票期权经纪业务资格申请书（</w:t>
      </w:r>
      <w:r>
        <w:rPr>
          <w:rFonts w:hint="eastAsia" w:ascii="仿宋_GB2312" w:eastAsia="仿宋_GB2312"/>
          <w:sz w:val="28"/>
          <w:szCs w:val="28"/>
        </w:rPr>
        <w:t>法定代表人签字并</w:t>
      </w:r>
      <w:r>
        <w:rPr>
          <w:rFonts w:hint="eastAsia" w:ascii="仿宋_GB2312" w:eastAsia="仿宋_GB2312"/>
          <w:color w:val="000000"/>
          <w:sz w:val="28"/>
          <w:szCs w:val="28"/>
        </w:rPr>
        <w:t>加盖公司公章）；</w:t>
      </w:r>
    </w:p>
    <w:p w14:paraId="0306C4D7">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2</w:t>
      </w:r>
      <w:r>
        <w:rPr>
          <w:rFonts w:hint="eastAsia" w:ascii="仿宋_GB2312" w:eastAsia="仿宋_GB2312"/>
          <w:color w:val="000000"/>
          <w:sz w:val="28"/>
          <w:szCs w:val="28"/>
        </w:rPr>
        <w:t>.股票期权经纪业务就绪自查承诺书（分管股票期权经纪业务的高级管理人员在业务就绪自查承诺书上签字，加盖公章）；</w:t>
      </w:r>
    </w:p>
    <w:p w14:paraId="210665CC">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3</w:t>
      </w:r>
      <w:r>
        <w:rPr>
          <w:rFonts w:hint="eastAsia" w:ascii="仿宋_GB2312" w:eastAsia="仿宋_GB2312"/>
          <w:color w:val="000000"/>
          <w:sz w:val="28"/>
          <w:szCs w:val="28"/>
        </w:rPr>
        <w:t>.股东会或董事会关于开展股票期权经纪业务的决议文件；</w:t>
      </w:r>
    </w:p>
    <w:p w14:paraId="34D98FBE">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4</w:t>
      </w:r>
      <w:r>
        <w:rPr>
          <w:rFonts w:hint="eastAsia" w:ascii="仿宋_GB2312" w:eastAsia="仿宋_GB2312"/>
          <w:color w:val="000000"/>
          <w:sz w:val="28"/>
          <w:szCs w:val="28"/>
        </w:rPr>
        <w:t>.股票期权和标的证券现货经纪业务方案、内部风险控制与管理制度、投资者适当性管理制度文本</w:t>
      </w:r>
      <w:r>
        <w:rPr>
          <w:rFonts w:hint="eastAsia" w:ascii="仿宋_GB2312" w:eastAsia="仿宋_GB2312"/>
          <w:color w:val="000000"/>
          <w:sz w:val="28"/>
          <w:szCs w:val="28"/>
          <w:lang w:eastAsia="zh-CN"/>
        </w:rPr>
        <w:t>等相关材料</w:t>
      </w:r>
      <w:r>
        <w:rPr>
          <w:rFonts w:hint="eastAsia" w:ascii="仿宋_GB2312" w:eastAsia="仿宋_GB2312"/>
          <w:color w:val="000000"/>
          <w:sz w:val="28"/>
          <w:szCs w:val="28"/>
        </w:rPr>
        <w:t>；</w:t>
      </w:r>
    </w:p>
    <w:p w14:paraId="76D55059">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5</w:t>
      </w:r>
      <w:r>
        <w:rPr>
          <w:rFonts w:hint="eastAsia" w:ascii="仿宋_GB2312" w:eastAsia="仿宋_GB2312"/>
          <w:color w:val="000000"/>
          <w:sz w:val="28"/>
          <w:szCs w:val="28"/>
        </w:rPr>
        <w:t>.负责股票期权经纪业务和标的证券现货业务的高级管理人员</w:t>
      </w:r>
      <w:r>
        <w:rPr>
          <w:rFonts w:hint="eastAsia" w:ascii="仿宋_GB2312" w:eastAsia="仿宋_GB2312"/>
          <w:color w:val="000000"/>
          <w:sz w:val="28"/>
          <w:szCs w:val="28"/>
          <w:lang w:val="en-US" w:eastAsia="zh-CN"/>
        </w:rPr>
        <w:t>和</w:t>
      </w:r>
      <w:r>
        <w:rPr>
          <w:rFonts w:hint="eastAsia" w:ascii="仿宋_GB2312" w:eastAsia="仿宋_GB2312"/>
          <w:color w:val="000000"/>
          <w:sz w:val="28"/>
          <w:szCs w:val="28"/>
        </w:rPr>
        <w:t>主要业务人员的名册</w:t>
      </w:r>
      <w:r>
        <w:rPr>
          <w:rFonts w:hint="eastAsia" w:ascii="仿宋_GB2312" w:eastAsia="仿宋_GB2312"/>
          <w:color w:val="000000"/>
          <w:sz w:val="28"/>
          <w:szCs w:val="28"/>
          <w:lang w:eastAsia="zh-CN"/>
        </w:rPr>
        <w:t>、</w:t>
      </w:r>
      <w:r>
        <w:rPr>
          <w:rFonts w:hint="eastAsia" w:ascii="仿宋_GB2312" w:eastAsia="仿宋_GB2312"/>
          <w:color w:val="000000"/>
          <w:sz w:val="28"/>
          <w:szCs w:val="28"/>
        </w:rPr>
        <w:t>资质证明文件（包括</w:t>
      </w:r>
      <w:r>
        <w:rPr>
          <w:rFonts w:hint="eastAsia" w:ascii="Times New Roman" w:hAnsi="Times New Roman" w:eastAsia="仿宋_GB2312"/>
          <w:sz w:val="28"/>
          <w:szCs w:val="28"/>
          <w:lang w:val="en-US" w:eastAsia="zh-CN"/>
        </w:rPr>
        <w:t>经中国证监会核准或备案的</w:t>
      </w:r>
      <w:r>
        <w:rPr>
          <w:rFonts w:hint="eastAsia" w:ascii="仿宋_GB2312" w:eastAsia="仿宋_GB2312"/>
          <w:color w:val="000000"/>
          <w:sz w:val="28"/>
          <w:szCs w:val="28"/>
        </w:rPr>
        <w:t>高管任职证明、</w:t>
      </w:r>
      <w:r>
        <w:rPr>
          <w:rFonts w:hint="eastAsia" w:ascii="Times New Roman" w:hAnsi="Times New Roman" w:eastAsia="仿宋_GB2312"/>
          <w:sz w:val="28"/>
          <w:szCs w:val="28"/>
          <w:lang w:val="en-US" w:eastAsia="zh-CN"/>
        </w:rPr>
        <w:t>证券、期货从业人员行业协会登记情况</w:t>
      </w:r>
      <w:r>
        <w:rPr>
          <w:rFonts w:hint="eastAsia" w:ascii="仿宋_GB2312" w:eastAsia="仿宋_GB2312"/>
          <w:color w:val="000000"/>
          <w:sz w:val="28"/>
          <w:szCs w:val="28"/>
        </w:rPr>
        <w:t>等）及联系方式，其中主要业务人员包括但不限于股票期权经纪业务部门相关人员、其他部门与期权业务密切相关的人员等</w:t>
      </w:r>
      <w:r>
        <w:rPr>
          <w:rFonts w:hint="eastAsia" w:ascii="仿宋_GB2312" w:eastAsia="仿宋_GB2312"/>
          <w:sz w:val="28"/>
          <w:szCs w:val="28"/>
        </w:rPr>
        <w:t>（经纪业务开展过程中如有人员变动，应及时向交易所报备，报备邮箱地址：optionbc@sse.com.cn）；</w:t>
      </w:r>
    </w:p>
    <w:p w14:paraId="1BA86100">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6</w:t>
      </w:r>
      <w:r>
        <w:rPr>
          <w:rFonts w:hint="eastAsia" w:ascii="仿宋_GB2312" w:eastAsia="仿宋_GB2312"/>
          <w:color w:val="000000"/>
          <w:sz w:val="28"/>
          <w:szCs w:val="28"/>
        </w:rPr>
        <w:t>.股票期权经纪业务全成本（包括与期权直接或间接相关的可变成本与固定成本）测算报告及股票期权合约每张收费计划；</w:t>
      </w:r>
    </w:p>
    <w:p w14:paraId="127CD4E5">
      <w:pPr>
        <w:ind w:firstLine="420" w:firstLineChars="200"/>
        <w:rPr>
          <w:rFonts w:hint="eastAsia" w:ascii="仿宋_GB2312" w:eastAsia="仿宋_GB2312"/>
          <w:color w:val="000000"/>
          <w:sz w:val="28"/>
          <w:szCs w:val="28"/>
        </w:rPr>
      </w:pPr>
      <w:r>
        <w:rPr>
          <w:rFonts w:hint="eastAsia"/>
          <w:lang w:val="en-US" w:eastAsia="zh-CN"/>
        </w:rPr>
        <w:t xml:space="preserve"> </w:t>
      </w:r>
      <w:r>
        <w:rPr>
          <w:rFonts w:hint="eastAsia" w:ascii="仿宋_GB2312" w:eastAsia="仿宋_GB2312"/>
          <w:color w:val="000000"/>
          <w:sz w:val="28"/>
          <w:szCs w:val="28"/>
          <w:lang w:val="en-US" w:eastAsia="zh-CN"/>
        </w:rPr>
        <w:t>7</w:t>
      </w:r>
      <w:r>
        <w:rPr>
          <w:rFonts w:hint="eastAsia" w:ascii="仿宋_GB2312" w:eastAsia="仿宋_GB2312"/>
          <w:color w:val="000000"/>
          <w:sz w:val="28"/>
          <w:szCs w:val="28"/>
        </w:rPr>
        <w:t>.遵守本所业务规则的承诺书（加盖公章）;</w:t>
      </w:r>
    </w:p>
    <w:p w14:paraId="76319A0D">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8</w:t>
      </w:r>
      <w:r>
        <w:rPr>
          <w:rFonts w:hint="eastAsia" w:ascii="仿宋_GB2312" w:eastAsia="仿宋_GB2312"/>
          <w:color w:val="000000"/>
          <w:sz w:val="28"/>
          <w:szCs w:val="28"/>
        </w:rPr>
        <w:t>.本所规定的其他申请材料。</w:t>
      </w:r>
    </w:p>
    <w:p w14:paraId="3C9085AC">
      <w:pPr>
        <w:ind w:firstLine="561" w:firstLineChars="200"/>
        <w:rPr>
          <w:rFonts w:ascii="仿宋_GB2312" w:eastAsia="仿宋_GB2312"/>
          <w:b/>
          <w:color w:val="000000"/>
          <w:sz w:val="28"/>
          <w:szCs w:val="28"/>
        </w:rPr>
      </w:pPr>
      <w:r>
        <w:rPr>
          <w:rFonts w:hint="eastAsia" w:ascii="仿宋_GB2312" w:eastAsia="仿宋_GB2312"/>
          <w:b/>
          <w:color w:val="000000"/>
          <w:sz w:val="28"/>
          <w:szCs w:val="28"/>
        </w:rPr>
        <w:t>（二）申请流程</w:t>
      </w:r>
    </w:p>
    <w:p w14:paraId="4231A84B">
      <w:pPr>
        <w:ind w:firstLine="560" w:firstLineChars="200"/>
        <w:rPr>
          <w:rFonts w:hint="eastAsia" w:ascii="Times New Roman" w:hAnsi="Times New Roman" w:eastAsia="仿宋_GB2312"/>
          <w:sz w:val="28"/>
          <w:szCs w:val="28"/>
          <w:lang w:eastAsia="zh-CN"/>
        </w:rPr>
      </w:pPr>
      <w:r>
        <w:rPr>
          <w:rFonts w:hint="eastAsia" w:ascii="Times New Roman" w:hAnsi="Times New Roman" w:eastAsia="仿宋_GB2312"/>
          <w:sz w:val="28"/>
          <w:szCs w:val="28"/>
          <w:lang w:val="en-US" w:eastAsia="zh-CN"/>
        </w:rPr>
        <w:t>1. 期货</w:t>
      </w:r>
      <w:r>
        <w:rPr>
          <w:rFonts w:hint="eastAsia" w:ascii="Times New Roman" w:hAnsi="Times New Roman" w:eastAsia="仿宋_GB2312"/>
          <w:sz w:val="28"/>
          <w:szCs w:val="28"/>
          <w:lang w:eastAsia="zh-CN"/>
        </w:rPr>
        <w:t>公司在完成相关技术准备后，首先应采取邮件方式向本所创新产品部提交加盖公章的股票期权业务申请书（接收</w:t>
      </w:r>
      <w:r>
        <w:rPr>
          <w:rFonts w:hint="eastAsia" w:ascii="仿宋_GB2312" w:eastAsia="仿宋_GB2312"/>
          <w:sz w:val="28"/>
          <w:szCs w:val="28"/>
          <w:highlight w:val="none"/>
          <w:lang w:eastAsia="zh-CN"/>
        </w:rPr>
        <w:t>邮箱为：</w:t>
      </w:r>
      <w:r>
        <w:rPr>
          <w:rFonts w:hint="default" w:ascii="Times New Roman" w:hAnsi="Times New Roman" w:eastAsia="仿宋_GB2312"/>
          <w:sz w:val="28"/>
          <w:szCs w:val="28"/>
          <w:highlight w:val="none"/>
        </w:rPr>
        <w:t>optionbc@sse.com.cn</w:t>
      </w:r>
      <w:r>
        <w:rPr>
          <w:rFonts w:hint="eastAsia" w:ascii="Times New Roman" w:hAnsi="Times New Roman" w:eastAsia="仿宋_GB2312"/>
          <w:sz w:val="28"/>
          <w:szCs w:val="28"/>
          <w:lang w:eastAsia="zh-CN"/>
        </w:rPr>
        <w:t>）。股票期权业务申请书应包括但不限于公司基本情况简介、申请股票期权业务类型、业务准备情况、技术及业务联系人信息以及申请股票期权全天候测试的申请。</w:t>
      </w:r>
    </w:p>
    <w:p w14:paraId="063D4B2C">
      <w:pPr>
        <w:ind w:firstLine="560" w:firstLineChars="200"/>
        <w:jc w:val="left"/>
        <w:rPr>
          <w:rFonts w:hint="eastAsia" w:ascii="仿宋_GB2312" w:eastAsia="仿宋_GB2312"/>
          <w:sz w:val="28"/>
          <w:szCs w:val="28"/>
          <w:lang w:val="en-US" w:eastAsia="zh-CN"/>
        </w:rPr>
      </w:pPr>
      <w:r>
        <w:rPr>
          <w:rFonts w:hint="eastAsia" w:ascii="Times New Roman" w:hAnsi="Times New Roman" w:eastAsia="仿宋_GB2312"/>
          <w:sz w:val="28"/>
          <w:szCs w:val="28"/>
          <w:lang w:val="en-US" w:eastAsia="zh-CN"/>
        </w:rPr>
        <w:t xml:space="preserve">2. </w:t>
      </w:r>
      <w:r>
        <w:rPr>
          <w:rFonts w:hint="eastAsia" w:ascii="Times New Roman" w:hAnsi="Times New Roman" w:eastAsia="仿宋_GB2312"/>
          <w:sz w:val="28"/>
          <w:szCs w:val="28"/>
          <w:highlight w:val="none"/>
          <w:lang w:val="en-US" w:eastAsia="zh-CN"/>
        </w:rPr>
        <w:t>通过全天候测试后，期货公司应以邮件方式向本所创新产品部</w:t>
      </w:r>
      <w:r>
        <w:rPr>
          <w:rFonts w:hint="eastAsia" w:ascii="仿宋_GB2312" w:eastAsia="仿宋_GB2312"/>
          <w:sz w:val="28"/>
          <w:szCs w:val="28"/>
          <w:highlight w:val="none"/>
        </w:rPr>
        <w:t>申</w:t>
      </w:r>
      <w:r>
        <w:rPr>
          <w:rFonts w:hint="eastAsia" w:ascii="仿宋_GB2312" w:eastAsia="仿宋_GB2312"/>
          <w:sz w:val="28"/>
          <w:szCs w:val="28"/>
        </w:rPr>
        <w:t>请股票期权全真模拟交易环境的测试</w:t>
      </w:r>
      <w:r>
        <w:rPr>
          <w:rFonts w:hint="eastAsia" w:ascii="Times New Roman" w:hAnsi="Times New Roman" w:eastAsia="仿宋_GB2312"/>
          <w:sz w:val="28"/>
          <w:szCs w:val="28"/>
          <w:lang w:eastAsia="zh-CN"/>
        </w:rPr>
        <w:t>（接收</w:t>
      </w:r>
      <w:r>
        <w:rPr>
          <w:rFonts w:hint="eastAsia" w:ascii="仿宋_GB2312" w:eastAsia="仿宋_GB2312"/>
          <w:sz w:val="28"/>
          <w:szCs w:val="28"/>
          <w:highlight w:val="none"/>
          <w:lang w:eastAsia="zh-CN"/>
        </w:rPr>
        <w:t>邮箱为：</w:t>
      </w:r>
      <w:r>
        <w:rPr>
          <w:rFonts w:hint="default" w:ascii="Times New Roman" w:hAnsi="Times New Roman" w:eastAsia="仿宋_GB2312"/>
          <w:sz w:val="28"/>
          <w:szCs w:val="28"/>
          <w:highlight w:val="none"/>
        </w:rPr>
        <w:t>optionbc@sse.com.cn</w:t>
      </w:r>
      <w:r>
        <w:rPr>
          <w:rFonts w:hint="eastAsia" w:ascii="Times New Roman" w:hAnsi="Times New Roman" w:eastAsia="仿宋_GB2312"/>
          <w:sz w:val="28"/>
          <w:szCs w:val="28"/>
          <w:lang w:eastAsia="zh-CN"/>
        </w:rPr>
        <w:t>）</w:t>
      </w:r>
      <w:r>
        <w:rPr>
          <w:rFonts w:hint="eastAsia" w:ascii="仿宋_GB2312" w:eastAsia="仿宋_GB2312"/>
          <w:sz w:val="28"/>
          <w:szCs w:val="28"/>
          <w:lang w:eastAsia="zh-CN"/>
        </w:rPr>
        <w:t>，需要</w:t>
      </w:r>
      <w:r>
        <w:rPr>
          <w:rFonts w:hint="eastAsia" w:ascii="仿宋_GB2312" w:eastAsia="仿宋_GB2312"/>
          <w:sz w:val="28"/>
          <w:szCs w:val="28"/>
        </w:rPr>
        <w:t>提供材料</w:t>
      </w:r>
      <w:r>
        <w:rPr>
          <w:rFonts w:hint="eastAsia" w:ascii="仿宋_GB2312" w:eastAsia="仿宋_GB2312"/>
          <w:sz w:val="28"/>
          <w:szCs w:val="28"/>
          <w:lang w:eastAsia="zh-CN"/>
        </w:rPr>
        <w:t>如下：</w:t>
      </w:r>
    </w:p>
    <w:p w14:paraId="0A707086">
      <w:pPr>
        <w:ind w:firstLine="600"/>
        <w:jc w:val="left"/>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highlight w:val="none"/>
        </w:rPr>
        <w:t>公司正式发文的</w:t>
      </w:r>
      <w:r>
        <w:rPr>
          <w:rFonts w:hint="eastAsia" w:ascii="仿宋_GB2312" w:eastAsia="仿宋_GB2312"/>
          <w:sz w:val="28"/>
          <w:szCs w:val="28"/>
        </w:rPr>
        <w:t>全真模拟交易环境测试申请书</w:t>
      </w:r>
      <w:r>
        <w:rPr>
          <w:rFonts w:hint="eastAsia" w:ascii="仿宋_GB2312" w:eastAsia="仿宋_GB2312"/>
          <w:sz w:val="28"/>
          <w:szCs w:val="28"/>
          <w:lang w:eastAsia="zh-CN"/>
        </w:rPr>
        <w:t>；</w:t>
      </w:r>
    </w:p>
    <w:p w14:paraId="72901E66">
      <w:pPr>
        <w:ind w:firstLine="600"/>
        <w:jc w:val="left"/>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股票期权业务相关的制度、流程、</w:t>
      </w:r>
      <w:r>
        <w:rPr>
          <w:rFonts w:ascii="仿宋_GB2312" w:eastAsia="仿宋_GB2312"/>
          <w:sz w:val="28"/>
          <w:szCs w:val="28"/>
        </w:rPr>
        <w:t>方案等</w:t>
      </w:r>
      <w:r>
        <w:rPr>
          <w:rFonts w:hint="eastAsia" w:ascii="仿宋_GB2312" w:eastAsia="仿宋_GB2312"/>
          <w:sz w:val="28"/>
          <w:szCs w:val="28"/>
        </w:rPr>
        <w:t>文件</w:t>
      </w:r>
      <w:r>
        <w:rPr>
          <w:rFonts w:hint="eastAsia" w:ascii="仿宋_GB2312" w:eastAsia="仿宋_GB2312"/>
          <w:sz w:val="28"/>
          <w:szCs w:val="28"/>
          <w:lang w:eastAsia="zh-CN"/>
        </w:rPr>
        <w:t>；</w:t>
      </w:r>
    </w:p>
    <w:p w14:paraId="64A44C72">
      <w:pPr>
        <w:ind w:firstLine="600"/>
        <w:jc w:val="left"/>
        <w:rPr>
          <w:rFonts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本所要求的其他材料。</w:t>
      </w:r>
    </w:p>
    <w:p w14:paraId="6829DBD0">
      <w:pPr>
        <w:ind w:firstLine="560" w:firstLineChars="200"/>
        <w:rPr>
          <w:rFonts w:hint="eastAsia" w:ascii="仿宋_GB2312" w:eastAsia="仿宋_GB2312"/>
          <w:sz w:val="28"/>
          <w:szCs w:val="28"/>
          <w:lang w:eastAsia="zh-CN"/>
        </w:rPr>
      </w:pPr>
      <w:r>
        <w:rPr>
          <w:rFonts w:hint="eastAsia" w:ascii="Times New Roman" w:hAnsi="Times New Roman" w:eastAsia="仿宋_GB2312"/>
          <w:sz w:val="28"/>
          <w:szCs w:val="28"/>
          <w:lang w:val="en-US" w:eastAsia="zh-CN"/>
        </w:rPr>
        <w:t>3. 通过全真模拟</w:t>
      </w:r>
      <w:r>
        <w:rPr>
          <w:rFonts w:hint="eastAsia" w:ascii="Times New Roman" w:hAnsi="Times New Roman" w:eastAsia="仿宋_GB2312"/>
          <w:sz w:val="28"/>
          <w:szCs w:val="28"/>
        </w:rPr>
        <w:t>交易环境测试</w:t>
      </w:r>
      <w:r>
        <w:rPr>
          <w:rFonts w:hint="eastAsia" w:ascii="Times New Roman" w:hAnsi="Times New Roman" w:eastAsia="仿宋_GB2312"/>
          <w:sz w:val="28"/>
          <w:szCs w:val="28"/>
          <w:lang w:eastAsia="zh-CN"/>
        </w:rPr>
        <w:t>后，</w:t>
      </w:r>
      <w:r>
        <w:rPr>
          <w:rFonts w:hint="eastAsia" w:ascii="Times New Roman" w:hAnsi="Times New Roman" w:eastAsia="仿宋_GB2312"/>
          <w:sz w:val="28"/>
          <w:szCs w:val="28"/>
          <w:lang w:val="en-US" w:eastAsia="zh-CN"/>
        </w:rPr>
        <w:t>期</w:t>
      </w:r>
      <w:r>
        <w:rPr>
          <w:rFonts w:hint="eastAsia" w:ascii="仿宋_GB2312" w:eastAsia="仿宋_GB2312"/>
          <w:sz w:val="28"/>
          <w:szCs w:val="28"/>
          <w:lang w:val="en-US" w:eastAsia="zh-CN"/>
        </w:rPr>
        <w:t>货</w:t>
      </w:r>
      <w:r>
        <w:rPr>
          <w:rFonts w:hint="eastAsia" w:ascii="仿宋_GB2312" w:eastAsia="仿宋_GB2312"/>
          <w:sz w:val="28"/>
          <w:szCs w:val="28"/>
          <w:lang w:eastAsia="zh-CN"/>
        </w:rPr>
        <w:t>公司应向本所会员管理部申请提交股票期权经纪业务的专项检查（专项检查底稿见附件一）。申请需要提供材料如下：</w:t>
      </w:r>
    </w:p>
    <w:p w14:paraId="56E31B0A">
      <w:pPr>
        <w:ind w:firstLine="600"/>
        <w:jc w:val="left"/>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highlight w:val="none"/>
        </w:rPr>
        <w:t>公司正式发文的</w:t>
      </w:r>
      <w:r>
        <w:rPr>
          <w:rFonts w:hint="eastAsia" w:ascii="仿宋_GB2312" w:eastAsia="仿宋_GB2312"/>
          <w:sz w:val="28"/>
          <w:szCs w:val="28"/>
        </w:rPr>
        <w:t>股票期权经纪业务现场检查申请书</w:t>
      </w:r>
      <w:r>
        <w:rPr>
          <w:rFonts w:hint="eastAsia" w:ascii="仿宋_GB2312" w:eastAsia="仿宋_GB2312"/>
          <w:sz w:val="28"/>
          <w:szCs w:val="28"/>
          <w:lang w:eastAsia="zh-CN"/>
        </w:rPr>
        <w:t>；</w:t>
      </w:r>
    </w:p>
    <w:p w14:paraId="6B2A920E">
      <w:pPr>
        <w:ind w:firstLine="600"/>
        <w:jc w:val="left"/>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股票期权业务相关的制度流程文件</w:t>
      </w:r>
      <w:r>
        <w:rPr>
          <w:rFonts w:hint="eastAsia" w:ascii="仿宋_GB2312" w:eastAsia="仿宋_GB2312"/>
          <w:sz w:val="28"/>
          <w:szCs w:val="28"/>
          <w:lang w:eastAsia="zh-CN"/>
        </w:rPr>
        <w:t>；</w:t>
      </w:r>
    </w:p>
    <w:p w14:paraId="18B08683">
      <w:pPr>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（3）</w:t>
      </w:r>
      <w:r>
        <w:rPr>
          <w:rFonts w:hint="eastAsia" w:ascii="仿宋_GB2312" w:eastAsia="仿宋_GB2312"/>
          <w:sz w:val="28"/>
          <w:szCs w:val="28"/>
        </w:rPr>
        <w:t>本所要求的其他材料。</w:t>
      </w:r>
      <w:r>
        <w:rPr>
          <w:rFonts w:hint="eastAsia" w:ascii="仿宋_GB2312" w:eastAsia="仿宋_GB2312"/>
          <w:sz w:val="28"/>
          <w:szCs w:val="28"/>
          <w:lang w:val="en-US" w:eastAsia="zh-CN"/>
        </w:rPr>
        <w:tab/>
      </w:r>
    </w:p>
    <w:p w14:paraId="7B86A58A">
      <w:pPr>
        <w:ind w:firstLine="560" w:firstLineChars="200"/>
        <w:rPr>
          <w:rFonts w:ascii="仿宋_GB2312" w:eastAsia="仿宋_GB2312"/>
          <w:color w:val="000000"/>
          <w:sz w:val="28"/>
          <w:szCs w:val="28"/>
        </w:rPr>
      </w:pPr>
      <w:r>
        <w:rPr>
          <w:rFonts w:hint="eastAsia" w:ascii="Times New Roman" w:hAnsi="Times New Roman" w:eastAsia="仿宋_GB2312"/>
          <w:sz w:val="28"/>
          <w:szCs w:val="28"/>
          <w:lang w:val="en-US" w:eastAsia="zh-CN"/>
        </w:rPr>
        <w:t>4. 期货</w:t>
      </w:r>
      <w:r>
        <w:rPr>
          <w:rFonts w:hint="eastAsia" w:ascii="Times New Roman" w:hAnsi="Times New Roman" w:eastAsia="仿宋_GB2312"/>
          <w:sz w:val="28"/>
          <w:szCs w:val="28"/>
          <w:lang w:eastAsia="zh-CN"/>
        </w:rPr>
        <w:t>公司通过本所组织的相关测试和专项检查，</w:t>
      </w:r>
      <w:r>
        <w:rPr>
          <w:rFonts w:hint="default" w:ascii="Times New Roman" w:hAnsi="Times New Roman" w:eastAsia="仿宋_GB2312"/>
          <w:sz w:val="28"/>
          <w:szCs w:val="28"/>
        </w:rPr>
        <w:t>并在中国结算完成股票期权经纪业务结算参与人申请、相关账户开立、清算路径开通等工作后</w:t>
      </w:r>
      <w:r>
        <w:rPr>
          <w:rFonts w:hint="eastAsia" w:ascii="Times New Roman" w:hAnsi="Times New Roman" w:eastAsia="仿宋_GB2312"/>
          <w:sz w:val="28"/>
          <w:szCs w:val="28"/>
          <w:lang w:eastAsia="zh-CN"/>
        </w:rPr>
        <w:t>，可向本所申请成为股票期权交易参与人，开通期权业务权限。</w:t>
      </w:r>
      <w:r>
        <w:rPr>
          <w:rFonts w:hint="eastAsia" w:ascii="仿宋_GB2312" w:eastAsia="仿宋_GB2312"/>
          <w:color w:val="000000"/>
          <w:sz w:val="28"/>
          <w:szCs w:val="28"/>
        </w:rPr>
        <w:t>期货公司应以书面形式通过一网通办-会员机构门户-期权业务栏目提交申请材料</w:t>
      </w:r>
      <w:r>
        <w:rPr>
          <w:rFonts w:hint="eastAsia" w:ascii="仿宋_GB2312" w:eastAsia="仿宋_GB2312"/>
          <w:color w:val="000000"/>
          <w:sz w:val="28"/>
          <w:szCs w:val="28"/>
          <w:lang w:eastAsia="zh-CN"/>
        </w:rPr>
        <w:t>，</w:t>
      </w:r>
      <w:r>
        <w:rPr>
          <w:rFonts w:hint="eastAsia" w:ascii="仿宋_GB2312" w:eastAsia="仿宋_GB2312"/>
          <w:color w:val="000000"/>
          <w:sz w:val="28"/>
          <w:szCs w:val="28"/>
        </w:rPr>
        <w:t>申请材料须为PDF形式的电子扫描件。期货公司符合申请条件且申请材料齐备的，本所自收到申请材料之日起1</w:t>
      </w:r>
      <w:r>
        <w:rPr>
          <w:rFonts w:hint="eastAsia" w:ascii="仿宋_GB2312" w:eastAsia="仿宋_GB2312"/>
          <w:color w:val="000000"/>
          <w:sz w:val="28"/>
          <w:szCs w:val="28"/>
          <w:lang w:val="en-US" w:eastAsia="zh-CN"/>
        </w:rPr>
        <w:t>5</w:t>
      </w:r>
      <w:r>
        <w:rPr>
          <w:rFonts w:hint="eastAsia" w:ascii="仿宋_GB2312" w:eastAsia="仿宋_GB2312"/>
          <w:color w:val="000000"/>
          <w:sz w:val="28"/>
          <w:szCs w:val="28"/>
        </w:rPr>
        <w:t>个交易日</w:t>
      </w:r>
      <w:r>
        <w:rPr>
          <w:rFonts w:hint="eastAsia" w:ascii="仿宋_GB2312" w:eastAsia="仿宋_GB2312"/>
          <w:sz w:val="28"/>
          <w:szCs w:val="28"/>
        </w:rPr>
        <w:t>内做出是否同意的决定。同意其为股票期权交易参与人的，本所向</w:t>
      </w:r>
      <w:r>
        <w:rPr>
          <w:rFonts w:hint="eastAsia" w:ascii="仿宋_GB2312" w:eastAsia="仿宋_GB2312"/>
          <w:color w:val="000000"/>
          <w:sz w:val="28"/>
          <w:szCs w:val="28"/>
        </w:rPr>
        <w:t>其发出同意期货公司成为本所交易参与人的通知。需要补充申请材料的，本所将通知申请人及时补充材料，补充材料的时间不包含在上述1</w:t>
      </w:r>
      <w:r>
        <w:rPr>
          <w:rFonts w:hint="eastAsia" w:ascii="仿宋_GB2312" w:eastAsia="仿宋_GB2312"/>
          <w:color w:val="000000"/>
          <w:sz w:val="28"/>
          <w:szCs w:val="28"/>
          <w:lang w:val="en-US" w:eastAsia="zh-CN"/>
        </w:rPr>
        <w:t>5</w:t>
      </w:r>
      <w:r>
        <w:rPr>
          <w:rFonts w:hint="eastAsia" w:ascii="仿宋_GB2312" w:eastAsia="仿宋_GB2312"/>
          <w:color w:val="000000"/>
          <w:sz w:val="28"/>
          <w:szCs w:val="28"/>
        </w:rPr>
        <w:t>个交易日内。</w:t>
      </w:r>
    </w:p>
    <w:p w14:paraId="1AF9BB38">
      <w:pPr>
        <w:pStyle w:val="5"/>
        <w:ind w:firstLine="562"/>
      </w:pPr>
      <w:bookmarkStart w:id="103" w:name="_Toc4719"/>
      <w:bookmarkStart w:id="104" w:name="_Toc23946969"/>
      <w:bookmarkStart w:id="105" w:name="_Toc24524"/>
      <w:bookmarkStart w:id="106" w:name="_Toc20892"/>
      <w:bookmarkStart w:id="107" w:name="_Toc408749909"/>
      <w:bookmarkStart w:id="108" w:name="_Toc19003"/>
      <w:bookmarkStart w:id="109" w:name="_Toc406438883"/>
      <w:r>
        <w:rPr>
          <w:rFonts w:hint="eastAsia"/>
          <w:lang w:val="en-US" w:eastAsia="zh-CN"/>
        </w:rPr>
        <w:t>五</w:t>
      </w:r>
      <w:r>
        <w:rPr>
          <w:rFonts w:hint="eastAsia"/>
        </w:rPr>
        <w:t>、结算路径与交易开通</w:t>
      </w:r>
      <w:bookmarkEnd w:id="103"/>
      <w:bookmarkEnd w:id="104"/>
      <w:bookmarkEnd w:id="105"/>
      <w:bookmarkEnd w:id="106"/>
      <w:bookmarkEnd w:id="107"/>
      <w:bookmarkEnd w:id="108"/>
    </w:p>
    <w:p w14:paraId="733EFC43">
      <w:pPr>
        <w:ind w:firstLine="560" w:firstLineChars="200"/>
        <w:rPr>
          <w:rFonts w:ascii="仿宋_GB2312" w:eastAsia="仿宋_GB2312"/>
          <w:color w:val="000000"/>
          <w:sz w:val="28"/>
          <w:szCs w:val="28"/>
        </w:rPr>
      </w:pPr>
      <w:r>
        <w:rPr>
          <w:rFonts w:hint="eastAsia" w:ascii="仿宋_GB2312" w:eastAsia="仿宋_GB2312"/>
          <w:color w:val="000000"/>
          <w:sz w:val="28"/>
          <w:szCs w:val="28"/>
        </w:rPr>
        <w:t>本所将申请转交中国结算上海分公司进行结算路径开通，期货公司应按照中国结算上海分公司的要求提供相应结算业务办理的材料，完成结算业务办理。具体事宜参见中国结算相关规定。</w:t>
      </w:r>
    </w:p>
    <w:p w14:paraId="78B39180">
      <w:pPr>
        <w:ind w:firstLine="560" w:firstLineChars="200"/>
        <w:rPr>
          <w:rFonts w:ascii="仿宋_GB2312" w:eastAsia="仿宋_GB2312"/>
          <w:color w:val="000000"/>
          <w:sz w:val="28"/>
          <w:szCs w:val="28"/>
        </w:rPr>
      </w:pPr>
      <w:r>
        <w:rPr>
          <w:rFonts w:hint="eastAsia" w:ascii="仿宋_GB2312" w:eastAsia="仿宋_GB2312"/>
          <w:color w:val="000000"/>
          <w:sz w:val="28"/>
          <w:szCs w:val="28"/>
        </w:rPr>
        <w:t>另外根据本所指定交易相关规定，在中国结算开立完成账户后，需办理指定交易相关业务。</w:t>
      </w:r>
    </w:p>
    <w:p w14:paraId="52A3B982">
      <w:pPr>
        <w:pStyle w:val="5"/>
        <w:ind w:firstLine="562"/>
      </w:pPr>
      <w:bookmarkStart w:id="110" w:name="_Toc932"/>
      <w:bookmarkStart w:id="111" w:name="_Toc9570"/>
      <w:bookmarkStart w:id="112" w:name="_Toc636"/>
      <w:bookmarkStart w:id="113" w:name="_Toc408749910"/>
      <w:bookmarkStart w:id="114" w:name="_Toc408300972"/>
      <w:bookmarkStart w:id="115" w:name="_Toc1534"/>
      <w:bookmarkStart w:id="116" w:name="_Toc23946970"/>
      <w:r>
        <w:rPr>
          <w:rFonts w:hint="eastAsia"/>
          <w:lang w:val="en-US" w:eastAsia="zh-CN"/>
        </w:rPr>
        <w:t>六</w:t>
      </w:r>
      <w:r>
        <w:rPr>
          <w:rFonts w:hint="eastAsia"/>
        </w:rPr>
        <w:t>、股票期权结算路径与交易权限开通</w:t>
      </w:r>
      <w:bookmarkEnd w:id="109"/>
      <w:bookmarkEnd w:id="110"/>
      <w:bookmarkEnd w:id="111"/>
      <w:bookmarkEnd w:id="112"/>
      <w:bookmarkEnd w:id="113"/>
      <w:bookmarkEnd w:id="114"/>
      <w:bookmarkEnd w:id="115"/>
      <w:bookmarkEnd w:id="116"/>
    </w:p>
    <w:p w14:paraId="6DF86510">
      <w:pPr>
        <w:ind w:firstLine="561" w:firstLineChars="200"/>
        <w:rPr>
          <w:rFonts w:ascii="仿宋_GB2312" w:eastAsia="仿宋_GB2312"/>
          <w:b/>
          <w:color w:val="000000"/>
          <w:sz w:val="28"/>
          <w:szCs w:val="28"/>
        </w:rPr>
      </w:pPr>
      <w:r>
        <w:rPr>
          <w:rFonts w:hint="eastAsia" w:ascii="仿宋_GB2312" w:eastAsia="仿宋_GB2312"/>
          <w:b/>
          <w:color w:val="000000"/>
          <w:sz w:val="28"/>
          <w:szCs w:val="28"/>
        </w:rPr>
        <w:t>（一）开通股票期权交易权限</w:t>
      </w:r>
    </w:p>
    <w:p w14:paraId="71347991">
      <w:pPr>
        <w:ind w:firstLine="560" w:firstLineChars="200"/>
        <w:rPr>
          <w:rFonts w:ascii="仿宋_GB2312" w:eastAsia="仿宋_GB2312"/>
          <w:color w:val="000000"/>
          <w:sz w:val="28"/>
          <w:szCs w:val="28"/>
        </w:rPr>
      </w:pPr>
      <w:r>
        <w:rPr>
          <w:rFonts w:hint="eastAsia" w:ascii="仿宋_GB2312" w:eastAsia="仿宋_GB2312"/>
          <w:color w:val="000000"/>
          <w:sz w:val="28"/>
          <w:szCs w:val="28"/>
        </w:rPr>
        <w:t>在期货公司完成所有结算业务办理后，本所为期货公司开通股票期权交易权限，期货公司可在</w:t>
      </w:r>
      <w:r>
        <w:rPr>
          <w:rFonts w:hint="eastAsia" w:ascii="仿宋_GB2312" w:eastAsia="仿宋_GB2312"/>
          <w:color w:val="000000"/>
          <w:sz w:val="28"/>
          <w:szCs w:val="28"/>
          <w:highlight w:val="none"/>
        </w:rPr>
        <w:t>期货公司申请交易单元，</w:t>
      </w:r>
      <w:r>
        <w:rPr>
          <w:rFonts w:hint="eastAsia" w:ascii="仿宋_GB2312" w:eastAsia="仿宋_GB2312"/>
          <w:color w:val="000000"/>
          <w:sz w:val="28"/>
          <w:szCs w:val="28"/>
          <w:highlight w:val="none"/>
          <w:lang w:val="en-US" w:eastAsia="zh-CN"/>
        </w:rPr>
        <w:t>CA证书</w:t>
      </w:r>
      <w:r>
        <w:rPr>
          <w:rFonts w:hint="eastAsia" w:ascii="仿宋_GB2312" w:eastAsia="仿宋_GB2312"/>
          <w:color w:val="000000"/>
          <w:sz w:val="28"/>
          <w:szCs w:val="28"/>
          <w:highlight w:val="none"/>
        </w:rPr>
        <w:t>登陆上交所</w:t>
      </w:r>
      <w:r>
        <w:rPr>
          <w:rFonts w:hint="eastAsia" w:ascii="仿宋_GB2312" w:eastAsia="仿宋_GB2312"/>
          <w:color w:val="000000"/>
          <w:sz w:val="28"/>
          <w:szCs w:val="28"/>
          <w:highlight w:val="none"/>
          <w:lang w:val="en-US" w:eastAsia="zh-CN"/>
        </w:rPr>
        <w:t>一网通办平台</w:t>
      </w:r>
      <w:r>
        <w:rPr>
          <w:rFonts w:hint="eastAsia" w:ascii="仿宋_GB2312" w:eastAsia="仿宋_GB2312"/>
          <w:color w:val="000000"/>
          <w:sz w:val="28"/>
          <w:szCs w:val="28"/>
          <w:highlight w:val="none"/>
        </w:rPr>
        <w:t>，通过</w:t>
      </w:r>
      <w:r>
        <w:rPr>
          <w:rFonts w:hint="default" w:ascii="Times New Roman" w:hAnsi="Times New Roman" w:eastAsia="仿宋_GB2312"/>
          <w:sz w:val="28"/>
          <w:szCs w:val="28"/>
          <w:highlight w:val="none"/>
        </w:rPr>
        <w:t>一网通办-会员机构门户-期权业务栏目</w:t>
      </w:r>
      <w:r>
        <w:rPr>
          <w:rFonts w:hint="eastAsia" w:ascii="Times New Roman" w:hAnsi="Times New Roman" w:eastAsia="仿宋_GB2312"/>
          <w:sz w:val="28"/>
          <w:szCs w:val="28"/>
          <w:highlight w:val="none"/>
          <w:lang w:val="en-US" w:eastAsia="zh-CN"/>
        </w:rPr>
        <w:t>查询。</w:t>
      </w:r>
    </w:p>
    <w:p w14:paraId="281F32CA">
      <w:pPr>
        <w:ind w:firstLine="561" w:firstLineChars="200"/>
        <w:rPr>
          <w:rFonts w:ascii="仿宋_GB2312" w:eastAsia="仿宋_GB2312"/>
          <w:b/>
          <w:color w:val="000000"/>
          <w:sz w:val="28"/>
          <w:szCs w:val="28"/>
        </w:rPr>
      </w:pPr>
      <w:r>
        <w:rPr>
          <w:rFonts w:hint="eastAsia" w:ascii="仿宋_GB2312" w:eastAsia="仿宋_GB2312"/>
          <w:b/>
          <w:color w:val="000000"/>
          <w:sz w:val="28"/>
          <w:szCs w:val="28"/>
        </w:rPr>
        <w:t>（二）报备账户和交易单元</w:t>
      </w:r>
    </w:p>
    <w:p w14:paraId="0F3092FC">
      <w:pPr>
        <w:ind w:firstLine="560" w:firstLineChars="200"/>
        <w:rPr>
          <w:rFonts w:ascii="仿宋_GB2312" w:eastAsia="仿宋_GB2312"/>
          <w:color w:val="000000"/>
          <w:sz w:val="28"/>
          <w:szCs w:val="28"/>
        </w:rPr>
      </w:pPr>
      <w:r>
        <w:rPr>
          <w:rFonts w:hint="eastAsia" w:ascii="仿宋_GB2312" w:eastAsia="仿宋_GB2312"/>
          <w:color w:val="000000"/>
          <w:sz w:val="28"/>
          <w:szCs w:val="28"/>
        </w:rPr>
        <w:t>1. 所需材料及材料要求</w:t>
      </w:r>
    </w:p>
    <w:p w14:paraId="7D9BC125">
      <w:pPr>
        <w:ind w:firstLine="560" w:firstLineChars="200"/>
        <w:rPr>
          <w:rFonts w:ascii="仿宋_GB2312" w:eastAsia="仿宋_GB2312"/>
          <w:color w:val="000000"/>
          <w:sz w:val="28"/>
          <w:szCs w:val="28"/>
        </w:rPr>
      </w:pPr>
      <w:r>
        <w:rPr>
          <w:rFonts w:hint="eastAsia" w:ascii="仿宋_GB2312" w:eastAsia="仿宋_GB2312"/>
          <w:color w:val="000000"/>
          <w:sz w:val="28"/>
          <w:szCs w:val="28"/>
          <w:highlight w:val="none"/>
        </w:rPr>
        <w:t>（1）期货公司将其股票期权经纪业务相关账户（客户股</w:t>
      </w:r>
      <w:r>
        <w:rPr>
          <w:rFonts w:hint="eastAsia" w:ascii="仿宋_GB2312" w:eastAsia="仿宋_GB2312"/>
          <w:color w:val="000000"/>
          <w:sz w:val="28"/>
          <w:szCs w:val="28"/>
        </w:rPr>
        <w:t>票期权保证金账户、客户衍生品处置证券账户、客户衍生品结算资金汇总账户）在开立后三个交易日内</w:t>
      </w:r>
      <w:r>
        <w:rPr>
          <w:rFonts w:hint="default" w:ascii="Times New Roman" w:hAnsi="Times New Roman" w:eastAsia="仿宋_GB2312"/>
          <w:sz w:val="28"/>
          <w:szCs w:val="28"/>
        </w:rPr>
        <w:t>通过公司邮箱</w:t>
      </w:r>
      <w:r>
        <w:rPr>
          <w:rFonts w:hint="eastAsia" w:ascii="仿宋_GB2312" w:eastAsia="仿宋_GB2312"/>
          <w:color w:val="000000"/>
          <w:sz w:val="28"/>
          <w:szCs w:val="28"/>
        </w:rPr>
        <w:t>向本所</w:t>
      </w:r>
      <w:r>
        <w:rPr>
          <w:rFonts w:hint="default" w:ascii="Times New Roman" w:hAnsi="Times New Roman" w:eastAsia="仿宋_GB2312"/>
          <w:sz w:val="28"/>
          <w:szCs w:val="28"/>
        </w:rPr>
        <w:t>创新产品</w:t>
      </w:r>
      <w:r>
        <w:rPr>
          <w:rFonts w:hint="eastAsia" w:ascii="仿宋_GB2312" w:eastAsia="仿宋_GB2312"/>
          <w:color w:val="000000"/>
          <w:sz w:val="28"/>
          <w:szCs w:val="28"/>
        </w:rPr>
        <w:t>部报备。</w:t>
      </w:r>
    </w:p>
    <w:p w14:paraId="39FEEB32">
      <w:pPr>
        <w:ind w:firstLine="560" w:firstLineChars="200"/>
        <w:rPr>
          <w:rFonts w:ascii="仿宋_GB2312" w:eastAsia="仿宋_GB2312"/>
          <w:color w:val="000000"/>
          <w:sz w:val="28"/>
          <w:szCs w:val="28"/>
        </w:rPr>
      </w:pPr>
      <w:r>
        <w:rPr>
          <w:rFonts w:hint="eastAsia" w:ascii="仿宋_GB2312" w:eastAsia="仿宋_GB2312"/>
          <w:color w:val="000000"/>
          <w:sz w:val="28"/>
          <w:szCs w:val="28"/>
        </w:rPr>
        <w:t>（2）期货公司</w:t>
      </w:r>
      <w:r>
        <w:rPr>
          <w:rFonts w:hint="default" w:ascii="Times New Roman" w:hAnsi="Times New Roman" w:eastAsia="仿宋_GB2312"/>
          <w:sz w:val="28"/>
          <w:szCs w:val="28"/>
        </w:rPr>
        <w:t>通过一网通办-会员机构门户-期权业务-期权强平和日终数据报备路径完成交易单元信息的报备</w:t>
      </w:r>
      <w:r>
        <w:rPr>
          <w:rFonts w:hint="eastAsia" w:ascii="仿宋_GB2312" w:eastAsia="仿宋_GB2312"/>
          <w:color w:val="000000"/>
          <w:sz w:val="28"/>
          <w:szCs w:val="28"/>
        </w:rPr>
        <w:t>。</w:t>
      </w:r>
    </w:p>
    <w:p w14:paraId="130928D8">
      <w:pPr>
        <w:ind w:firstLine="560" w:firstLineChars="200"/>
        <w:rPr>
          <w:rFonts w:ascii="仿宋_GB2312" w:eastAsia="仿宋_GB2312"/>
          <w:color w:val="000000"/>
          <w:sz w:val="28"/>
          <w:szCs w:val="28"/>
        </w:rPr>
      </w:pPr>
      <w:r>
        <w:rPr>
          <w:rFonts w:hint="eastAsia" w:ascii="仿宋_GB2312" w:eastAsia="仿宋_GB2312"/>
          <w:color w:val="000000"/>
          <w:sz w:val="28"/>
          <w:szCs w:val="28"/>
        </w:rPr>
        <w:t>2. 递交方式及联系人</w:t>
      </w:r>
    </w:p>
    <w:p w14:paraId="198FD0FE">
      <w:pPr>
        <w:ind w:firstLine="420" w:firstLineChars="200"/>
        <w:rPr>
          <w:rStyle w:val="33"/>
          <w:rFonts w:hAnsiTheme="minorHAnsi" w:cstheme="minorBidi"/>
        </w:rPr>
      </w:pPr>
      <w:r>
        <w:rPr>
          <w:rStyle w:val="33"/>
          <w:rFonts w:hAnsiTheme="minorHAnsi" w:cstheme="minorBidi"/>
        </w:rPr>
        <w:fldChar w:fldCharType="begin"/>
      </w:r>
      <w:r>
        <w:rPr>
          <w:rStyle w:val="33"/>
          <w:rFonts w:hAnsiTheme="minorHAnsi" w:cstheme="minorBidi"/>
        </w:rPr>
        <w:instrText xml:space="preserve"> HYPERLINK "mailto:期货公司发送邮件至optionbc@sse.com.cn，标题注明“XX期货公司账户及交易单元报备”，联系方式：021-68811322。" </w:instrText>
      </w:r>
      <w:r>
        <w:rPr>
          <w:rStyle w:val="33"/>
          <w:rFonts w:hAnsiTheme="minorHAnsi" w:cstheme="minorBidi"/>
        </w:rPr>
        <w:fldChar w:fldCharType="separate"/>
      </w:r>
      <w:r>
        <w:rPr>
          <w:rStyle w:val="33"/>
          <w:rFonts w:hint="eastAsia" w:ascii="仿宋_GB2312" w:eastAsia="仿宋_GB2312" w:hAnsiTheme="minorHAnsi" w:cstheme="minorBidi"/>
          <w:color w:val="000000"/>
          <w:sz w:val="28"/>
          <w:szCs w:val="28"/>
        </w:rPr>
        <w:t>期货公司发送邮件至optionbc@sse.com.cn，标题注明“XX期货公司账户及交易单元报备”，联系方式：021-68602058。</w:t>
      </w:r>
      <w:r>
        <w:rPr>
          <w:rStyle w:val="33"/>
          <w:rFonts w:hint="eastAsia" w:ascii="仿宋_GB2312" w:eastAsia="仿宋_GB2312" w:hAnsiTheme="minorHAnsi" w:cstheme="minorBidi"/>
          <w:color w:val="000000"/>
          <w:sz w:val="28"/>
          <w:szCs w:val="28"/>
        </w:rPr>
        <w:fldChar w:fldCharType="end"/>
      </w:r>
    </w:p>
    <w:p w14:paraId="1C3846B8">
      <w:pPr>
        <w:pStyle w:val="5"/>
        <w:ind w:firstLine="562"/>
      </w:pPr>
      <w:bookmarkStart w:id="117" w:name="_Toc30070"/>
      <w:bookmarkStart w:id="118" w:name="_Toc23946971"/>
      <w:r>
        <w:rPr>
          <w:rFonts w:hint="eastAsia"/>
          <w:lang w:val="en-US" w:eastAsia="zh-CN"/>
        </w:rPr>
        <w:t>七</w:t>
      </w:r>
      <w:r>
        <w:rPr>
          <w:rFonts w:hint="eastAsia"/>
        </w:rPr>
        <w:t>、开通</w:t>
      </w:r>
      <w:r>
        <w:rPr>
          <w:rFonts w:hint="eastAsia" w:ascii="Cambria" w:hAnsi="Cambria" w:eastAsia="仿宋_GB2312"/>
          <w:sz w:val="28"/>
          <w:szCs w:val="32"/>
          <w:lang w:eastAsia="zh-CN"/>
        </w:rPr>
        <w:t>一网通办会员机构门户</w:t>
      </w:r>
      <w:r>
        <w:rPr>
          <w:rFonts w:hint="eastAsia"/>
          <w:sz w:val="28"/>
          <w:szCs w:val="32"/>
          <w:highlight w:val="none"/>
          <w:lang w:eastAsia="zh-CN"/>
        </w:rPr>
        <w:t>（</w:t>
      </w:r>
      <w:r>
        <w:rPr>
          <w:rFonts w:hint="eastAsia"/>
          <w:sz w:val="28"/>
          <w:szCs w:val="32"/>
          <w:highlight w:val="none"/>
          <w:lang w:val="en-US" w:eastAsia="zh-CN"/>
        </w:rPr>
        <w:t>交易参与人业务</w:t>
      </w:r>
      <w:r>
        <w:rPr>
          <w:rFonts w:hint="eastAsia"/>
          <w:sz w:val="28"/>
          <w:szCs w:val="32"/>
          <w:highlight w:val="none"/>
          <w:lang w:eastAsia="zh-CN"/>
        </w:rPr>
        <w:t>）</w:t>
      </w:r>
      <w:r>
        <w:rPr>
          <w:rFonts w:hint="eastAsia"/>
        </w:rPr>
        <w:t>使用权限</w:t>
      </w:r>
      <w:bookmarkEnd w:id="117"/>
      <w:bookmarkEnd w:id="118"/>
    </w:p>
    <w:p w14:paraId="0CDEC0DB">
      <w:pPr>
        <w:ind w:firstLine="560" w:firstLineChars="200"/>
        <w:rPr>
          <w:rFonts w:ascii="仿宋_GB2312" w:eastAsia="仿宋_GB2312"/>
          <w:color w:val="000000"/>
          <w:sz w:val="28"/>
          <w:szCs w:val="28"/>
        </w:rPr>
      </w:pPr>
      <w:r>
        <w:rPr>
          <w:rFonts w:hint="default" w:ascii="Times New Roman" w:hAnsi="Times New Roman" w:eastAsia="仿宋_GB2312"/>
          <w:sz w:val="28"/>
          <w:szCs w:val="28"/>
        </w:rPr>
        <w:t>一网通办会员机构门户</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交易参与人业务</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rPr>
        <w:t>是各期权经营机构递交各类材料和信息传递的重要通道和沟通平台，其功能包含经纪套保持仓限额申请、持仓限额报送、程序</w:t>
      </w:r>
      <w:r>
        <w:rPr>
          <w:rFonts w:hint="eastAsia" w:ascii="仿宋_GB2312" w:eastAsia="仿宋_GB2312"/>
          <w:color w:val="000000"/>
          <w:sz w:val="28"/>
          <w:szCs w:val="28"/>
          <w:lang w:val="en-US" w:eastAsia="zh-CN"/>
        </w:rPr>
        <w:t>化</w:t>
      </w:r>
      <w:r>
        <w:rPr>
          <w:rFonts w:hint="eastAsia" w:ascii="仿宋_GB2312" w:eastAsia="仿宋_GB2312"/>
          <w:color w:val="000000"/>
          <w:sz w:val="28"/>
          <w:szCs w:val="28"/>
        </w:rPr>
        <w:t>交易</w:t>
      </w:r>
      <w:r>
        <w:rPr>
          <w:rFonts w:hint="eastAsia" w:ascii="仿宋_GB2312" w:eastAsia="仿宋_GB2312"/>
          <w:color w:val="000000"/>
          <w:sz w:val="28"/>
          <w:szCs w:val="28"/>
          <w:lang w:val="en-US" w:eastAsia="zh-CN"/>
        </w:rPr>
        <w:t>报告</w:t>
      </w:r>
      <w:r>
        <w:rPr>
          <w:rFonts w:hint="eastAsia" w:ascii="仿宋_GB2312" w:eastAsia="仿宋_GB2312"/>
          <w:color w:val="000000"/>
          <w:sz w:val="28"/>
          <w:szCs w:val="28"/>
        </w:rPr>
        <w:t>、发布公告、发送通知等。</w:t>
      </w:r>
      <w:r>
        <w:rPr>
          <w:rFonts w:hint="eastAsia" w:ascii="仿宋_GB2312" w:eastAsia="仿宋_GB2312"/>
          <w:color w:val="000000"/>
          <w:sz w:val="28"/>
          <w:szCs w:val="28"/>
          <w:highlight w:val="none"/>
          <w:lang w:eastAsia="zh-CN"/>
        </w:rPr>
        <w:t>期货公司需申请专用数字证书方式开通一网通办会员机构门户（</w:t>
      </w:r>
      <w:r>
        <w:rPr>
          <w:rFonts w:hint="eastAsia" w:ascii="仿宋_GB2312" w:eastAsia="仿宋_GB2312"/>
          <w:color w:val="000000"/>
          <w:sz w:val="28"/>
          <w:szCs w:val="28"/>
          <w:highlight w:val="none"/>
          <w:lang w:val="en-US" w:eastAsia="zh-CN"/>
        </w:rPr>
        <w:t>交易参与人业务</w:t>
      </w:r>
      <w:r>
        <w:rPr>
          <w:rFonts w:hint="eastAsia" w:ascii="仿宋_GB2312" w:eastAsia="仿宋_GB2312"/>
          <w:color w:val="000000"/>
          <w:sz w:val="28"/>
          <w:szCs w:val="28"/>
          <w:highlight w:val="none"/>
          <w:lang w:eastAsia="zh-CN"/>
        </w:rPr>
        <w:t>）使用权限，申请专用数字证书的程序如下：</w:t>
      </w:r>
    </w:p>
    <w:p w14:paraId="4C7A51A2">
      <w:pPr>
        <w:ind w:firstLine="560" w:firstLineChars="200"/>
        <w:rPr>
          <w:rFonts w:hint="eastAsia"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期货</w:t>
      </w:r>
      <w:r>
        <w:rPr>
          <w:rFonts w:hint="eastAsia" w:ascii="仿宋_GB2312" w:eastAsia="仿宋_GB2312"/>
          <w:color w:val="000000"/>
          <w:sz w:val="28"/>
          <w:szCs w:val="28"/>
          <w:highlight w:val="none"/>
        </w:rPr>
        <w:t>公司可在本所网站技术服务专区的CA证书服务阅读相关申请流程，通过CA在线业务系统(https://cnsca.sse.com.cn/)</w:t>
      </w:r>
      <w:r>
        <w:rPr>
          <w:rFonts w:hint="eastAsia" w:ascii="仿宋_GB2312" w:eastAsia="仿宋_GB2312"/>
          <w:color w:val="000000"/>
          <w:sz w:val="28"/>
          <w:szCs w:val="28"/>
          <w:highlight w:val="none"/>
          <w:lang w:val="en-US" w:eastAsia="zh-CN"/>
        </w:rPr>
        <w:t>-我的申请-选择证书类型“业务管理系统平台</w:t>
      </w:r>
      <w:r>
        <w:rPr>
          <w:rFonts w:hint="default" w:ascii="Times New Roman" w:hAnsi="Times New Roman" w:eastAsia="仿宋_GB2312"/>
          <w:sz w:val="28"/>
          <w:szCs w:val="28"/>
          <w:highlight w:val="none"/>
        </w:rPr>
        <w:t>-</w:t>
      </w:r>
      <w:r>
        <w:rPr>
          <w:rFonts w:hint="eastAsia" w:ascii="仿宋_GB2312" w:eastAsia="仿宋_GB2312"/>
          <w:color w:val="000000"/>
          <w:sz w:val="28"/>
          <w:szCs w:val="28"/>
          <w:highlight w:val="none"/>
          <w:lang w:val="en-US" w:eastAsia="zh-CN"/>
        </w:rPr>
        <w:t>交易参与人模块（期权）”</w:t>
      </w:r>
      <w:r>
        <w:rPr>
          <w:rFonts w:hint="eastAsia" w:ascii="仿宋_GB2312" w:eastAsia="仿宋_GB2312"/>
          <w:color w:val="000000"/>
          <w:sz w:val="28"/>
          <w:szCs w:val="28"/>
          <w:highlight w:val="none"/>
        </w:rPr>
        <w:t>发起申请，按</w:t>
      </w:r>
      <w:r>
        <w:rPr>
          <w:rFonts w:hint="eastAsia" w:ascii="仿宋_GB2312" w:eastAsia="仿宋_GB2312"/>
          <w:color w:val="000000"/>
          <w:sz w:val="28"/>
          <w:szCs w:val="28"/>
          <w:highlight w:val="none"/>
          <w:lang w:eastAsia="zh-CN"/>
        </w:rPr>
        <w:t>页面</w:t>
      </w:r>
      <w:r>
        <w:rPr>
          <w:rFonts w:hint="eastAsia" w:ascii="仿宋_GB2312" w:eastAsia="仿宋_GB2312"/>
          <w:color w:val="000000"/>
          <w:sz w:val="28"/>
          <w:szCs w:val="28"/>
          <w:highlight w:val="none"/>
        </w:rPr>
        <w:t>要求填报提交申请材料包括《上海证券交易所业务管理系统平台-交易参与人模块（期权）使用责任书》、《CnSCA数字证书申请表》、《CnSCA数字证书申请责任书》、授权</w:t>
      </w:r>
      <w:r>
        <w:rPr>
          <w:rFonts w:hint="eastAsia" w:ascii="仿宋_GB2312" w:eastAsia="仿宋_GB2312"/>
          <w:color w:val="000000"/>
          <w:sz w:val="28"/>
          <w:szCs w:val="28"/>
          <w:highlight w:val="none"/>
          <w:lang w:eastAsia="zh-CN"/>
        </w:rPr>
        <w:t>证明等</w:t>
      </w:r>
      <w:r>
        <w:rPr>
          <w:rFonts w:hint="eastAsia" w:ascii="仿宋_GB2312" w:eastAsia="仿宋_GB2312"/>
          <w:color w:val="000000"/>
          <w:sz w:val="28"/>
          <w:szCs w:val="28"/>
          <w:highlight w:val="none"/>
        </w:rPr>
        <w:t>。</w:t>
      </w:r>
    </w:p>
    <w:p w14:paraId="65A8C9FA">
      <w:pPr>
        <w:ind w:firstLine="560" w:firstLineChars="200"/>
        <w:rPr>
          <w:highlight w:val="none"/>
        </w:rPr>
      </w:pPr>
      <w:r>
        <w:rPr>
          <w:rFonts w:hint="eastAsia" w:ascii="仿宋_GB2312" w:eastAsia="仿宋_GB2312"/>
          <w:color w:val="000000"/>
          <w:sz w:val="28"/>
          <w:szCs w:val="28"/>
          <w:highlight w:val="none"/>
        </w:rPr>
        <w:t>注册用户口令登录提交</w:t>
      </w:r>
      <w:r>
        <w:rPr>
          <w:rFonts w:hint="eastAsia" w:ascii="仿宋_GB2312" w:eastAsia="仿宋_GB2312"/>
          <w:color w:val="000000"/>
          <w:sz w:val="28"/>
          <w:szCs w:val="28"/>
          <w:highlight w:val="none"/>
          <w:lang w:eastAsia="zh-CN"/>
        </w:rPr>
        <w:t>的证书</w:t>
      </w:r>
      <w:r>
        <w:rPr>
          <w:rFonts w:hint="eastAsia" w:ascii="仿宋_GB2312" w:eastAsia="仿宋_GB2312"/>
          <w:color w:val="000000"/>
          <w:sz w:val="28"/>
          <w:szCs w:val="28"/>
          <w:highlight w:val="none"/>
        </w:rPr>
        <w:t>申请，需将上述</w:t>
      </w:r>
      <w:r>
        <w:rPr>
          <w:rFonts w:hint="eastAsia" w:ascii="仿宋_GB2312" w:eastAsia="仿宋_GB2312"/>
          <w:color w:val="000000"/>
          <w:sz w:val="28"/>
          <w:szCs w:val="28"/>
          <w:highlight w:val="none"/>
          <w:lang w:eastAsia="zh-CN"/>
        </w:rPr>
        <w:t>证书</w:t>
      </w:r>
      <w:r>
        <w:rPr>
          <w:rFonts w:hint="eastAsia" w:ascii="仿宋_GB2312" w:eastAsia="仿宋_GB2312"/>
          <w:color w:val="000000"/>
          <w:sz w:val="28"/>
          <w:szCs w:val="28"/>
          <w:highlight w:val="none"/>
        </w:rPr>
        <w:t>申请材料原件寄送至本所信息公司CA中心。</w:t>
      </w:r>
      <w:r>
        <w:rPr>
          <w:rFonts w:hint="eastAsia" w:ascii="仿宋_GB2312" w:eastAsia="仿宋_GB2312"/>
          <w:color w:val="000000"/>
          <w:sz w:val="28"/>
          <w:szCs w:val="28"/>
          <w:highlight w:val="none"/>
          <w:lang w:eastAsia="zh-CN"/>
        </w:rPr>
        <w:t>收件地址：上海市浦东新区浦东南路528号上海证券大厦南塔12楼；收件人：</w:t>
      </w:r>
      <w:r>
        <w:rPr>
          <w:rFonts w:hint="eastAsia" w:ascii="仿宋_GB2312" w:eastAsia="仿宋_GB2312"/>
          <w:color w:val="000000"/>
          <w:sz w:val="28"/>
          <w:szCs w:val="28"/>
          <w:highlight w:val="none"/>
          <w:lang w:val="en-US" w:eastAsia="zh-CN"/>
        </w:rPr>
        <w:t>CA中心；电话：4008888400按键2-5。</w:t>
      </w:r>
    </w:p>
    <w:p w14:paraId="3272E48E">
      <w:pPr>
        <w:ind w:firstLine="420" w:firstLineChars="200"/>
        <w:rPr>
          <w:highlight w:val="none"/>
        </w:rPr>
      </w:pPr>
    </w:p>
    <w:p w14:paraId="296DC4FA">
      <w:pPr>
        <w:ind w:firstLine="420" w:firstLineChars="200"/>
        <w:rPr>
          <w:highlight w:val="none"/>
        </w:rPr>
      </w:pPr>
    </w:p>
    <w:p w14:paraId="39F8D1B3">
      <w:pPr>
        <w:ind w:firstLine="420" w:firstLineChars="200"/>
        <w:rPr>
          <w:highlight w:val="none"/>
        </w:rPr>
      </w:pPr>
    </w:p>
    <w:p w14:paraId="76C7F3CA">
      <w:pPr>
        <w:ind w:firstLine="420" w:firstLineChars="200"/>
        <w:rPr>
          <w:highlight w:val="none"/>
        </w:rPr>
      </w:pPr>
    </w:p>
    <w:p w14:paraId="6FBC8C22">
      <w:pPr>
        <w:ind w:firstLine="420" w:firstLineChars="200"/>
        <w:rPr>
          <w:highlight w:val="none"/>
        </w:rPr>
      </w:pPr>
    </w:p>
    <w:p w14:paraId="3B4410C2">
      <w:pPr>
        <w:ind w:firstLine="420" w:firstLineChars="200"/>
        <w:rPr>
          <w:highlight w:val="none"/>
        </w:rPr>
      </w:pPr>
    </w:p>
    <w:p w14:paraId="6AA12667">
      <w:pPr>
        <w:ind w:firstLine="420" w:firstLineChars="200"/>
        <w:rPr>
          <w:highlight w:val="none"/>
        </w:rPr>
      </w:pPr>
    </w:p>
    <w:p w14:paraId="6C984F6E">
      <w:pPr>
        <w:ind w:firstLine="420" w:firstLineChars="200"/>
        <w:rPr>
          <w:highlight w:val="none"/>
        </w:rPr>
      </w:pPr>
    </w:p>
    <w:p w14:paraId="2813446E">
      <w:pPr>
        <w:ind w:firstLine="420" w:firstLineChars="200"/>
        <w:rPr>
          <w:highlight w:val="none"/>
        </w:rPr>
      </w:pPr>
    </w:p>
    <w:p w14:paraId="5AE5D21C">
      <w:pPr>
        <w:ind w:firstLine="420" w:firstLineChars="200"/>
        <w:rPr>
          <w:highlight w:val="none"/>
        </w:rPr>
      </w:pPr>
    </w:p>
    <w:p w14:paraId="3B0D9BE4">
      <w:pPr>
        <w:ind w:firstLine="420" w:firstLineChars="200"/>
        <w:rPr>
          <w:highlight w:val="none"/>
        </w:rPr>
      </w:pPr>
    </w:p>
    <w:p w14:paraId="785BF922">
      <w:pPr>
        <w:ind w:firstLine="420" w:firstLineChars="200"/>
        <w:rPr>
          <w:highlight w:val="none"/>
        </w:rPr>
      </w:pPr>
    </w:p>
    <w:p w14:paraId="584789E9">
      <w:pPr>
        <w:ind w:firstLine="420" w:firstLineChars="200"/>
        <w:rPr>
          <w:highlight w:val="none"/>
        </w:rPr>
      </w:pPr>
    </w:p>
    <w:p w14:paraId="4FE61C92">
      <w:pPr>
        <w:ind w:firstLine="420" w:firstLineChars="200"/>
        <w:rPr>
          <w:highlight w:val="none"/>
        </w:rPr>
      </w:pPr>
    </w:p>
    <w:p w14:paraId="54F9F122">
      <w:pPr>
        <w:ind w:firstLine="420" w:firstLineChars="200"/>
        <w:rPr>
          <w:highlight w:val="none"/>
        </w:rPr>
      </w:pPr>
    </w:p>
    <w:p w14:paraId="2F3A47D0">
      <w:pPr>
        <w:ind w:firstLine="420" w:firstLineChars="200"/>
        <w:rPr>
          <w:highlight w:val="none"/>
        </w:rPr>
      </w:pPr>
    </w:p>
    <w:p w14:paraId="14255241">
      <w:pPr>
        <w:ind w:firstLine="420" w:firstLineChars="200"/>
        <w:rPr>
          <w:highlight w:val="none"/>
        </w:rPr>
      </w:pPr>
    </w:p>
    <w:p w14:paraId="161CE6A7">
      <w:pPr>
        <w:ind w:firstLine="420" w:firstLineChars="200"/>
        <w:rPr>
          <w:highlight w:val="none"/>
        </w:rPr>
      </w:pPr>
    </w:p>
    <w:p w14:paraId="45907D3E">
      <w:pPr>
        <w:ind w:firstLine="420" w:firstLineChars="200"/>
        <w:rPr>
          <w:highlight w:val="none"/>
        </w:rPr>
      </w:pPr>
    </w:p>
    <w:p w14:paraId="124CD618">
      <w:pPr>
        <w:ind w:firstLine="420" w:firstLineChars="200"/>
        <w:rPr>
          <w:highlight w:val="none"/>
        </w:rPr>
      </w:pPr>
    </w:p>
    <w:p w14:paraId="3B13623C">
      <w:pPr>
        <w:ind w:firstLine="640" w:firstLineChars="200"/>
        <w:jc w:val="center"/>
        <w:rPr>
          <w:rFonts w:hint="eastAsia" w:ascii="黑体" w:hAnsi="黑体" w:eastAsia="黑体"/>
          <w:sz w:val="32"/>
          <w:highlight w:val="none"/>
        </w:rPr>
      </w:pPr>
      <w:bookmarkStart w:id="119" w:name="_Toc406438884"/>
      <w:bookmarkStart w:id="120" w:name="_Toc408300973"/>
      <w:bookmarkStart w:id="121" w:name="_Toc26524"/>
      <w:bookmarkStart w:id="122" w:name="_Toc26998"/>
      <w:bookmarkStart w:id="123" w:name="_Toc408749911"/>
      <w:bookmarkStart w:id="124" w:name="_Toc11564"/>
      <w:bookmarkStart w:id="125" w:name="_Toc14583"/>
      <w:bookmarkStart w:id="126" w:name="_Toc23946972"/>
      <w:bookmarkStart w:id="127" w:name="_Toc406438949"/>
      <w:bookmarkStart w:id="128" w:name="_Toc406439134"/>
      <w:bookmarkStart w:id="129" w:name="_Toc406436500"/>
    </w:p>
    <w:p w14:paraId="3F99A714">
      <w:pPr>
        <w:pStyle w:val="5"/>
        <w:ind w:firstLine="0" w:firstLineChars="0"/>
        <w:jc w:val="center"/>
        <w:rPr>
          <w:rFonts w:ascii="黑体" w:hAnsi="黑体" w:eastAsia="黑体"/>
          <w:sz w:val="32"/>
        </w:rPr>
      </w:pPr>
      <w:r>
        <w:rPr>
          <w:rFonts w:hint="eastAsia" w:ascii="黑体" w:hAnsi="黑体" w:eastAsia="黑体"/>
          <w:sz w:val="32"/>
        </w:rPr>
        <w:t>第三章 投资者适当性管理</w:t>
      </w:r>
      <w:bookmarkEnd w:id="119"/>
      <w:bookmarkEnd w:id="120"/>
      <w:bookmarkEnd w:id="121"/>
      <w:bookmarkEnd w:id="122"/>
      <w:bookmarkEnd w:id="123"/>
      <w:bookmarkEnd w:id="124"/>
      <w:bookmarkEnd w:id="125"/>
      <w:bookmarkEnd w:id="126"/>
      <w:bookmarkEnd w:id="127"/>
      <w:bookmarkEnd w:id="128"/>
      <w:bookmarkEnd w:id="129"/>
    </w:p>
    <w:p w14:paraId="4B946241">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期货公司应当严格执行股票期权投资者适当性管理制度，向客户全面介绍</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期权产品特征，充分揭示</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期权交易风险，对客户的适当性进行评估并对客户实施交易权限分级管理。期货公司不得接受不符合投资者适当性标准的客户从事股票期权交易。</w:t>
      </w:r>
    </w:p>
    <w:p w14:paraId="580DC775">
      <w:pPr>
        <w:ind w:firstLine="560" w:firstLineChars="200"/>
        <w:rPr>
          <w:rFonts w:ascii="仿宋_GB2312" w:hAnsi="宋体" w:eastAsia="仿宋_GB2312"/>
          <w:b/>
          <w:color w:val="000000"/>
          <w:sz w:val="28"/>
          <w:szCs w:val="28"/>
        </w:rPr>
      </w:pPr>
      <w:r>
        <w:rPr>
          <w:rFonts w:hint="eastAsia" w:ascii="仿宋_GB2312" w:eastAsia="仿宋_GB2312"/>
          <w:color w:val="000000"/>
          <w:sz w:val="28"/>
          <w:szCs w:val="28"/>
        </w:rPr>
        <w:t>投资者适当性评估及交易权限分级等事宜，应当由公司总部审核确定。</w:t>
      </w:r>
    </w:p>
    <w:p w14:paraId="47686BE6">
      <w:pPr>
        <w:ind w:firstLine="560"/>
        <w:jc w:val="both"/>
        <w:rPr>
          <w:rFonts w:hint="eastAsia" w:ascii="Times New Roman" w:hAnsi="Times New Roman" w:eastAsia="黑体"/>
          <w:sz w:val="28"/>
          <w:szCs w:val="28"/>
        </w:rPr>
      </w:pPr>
      <w:bookmarkStart w:id="130" w:name="_Toc406438885"/>
      <w:bookmarkStart w:id="131" w:name="_Toc408300974"/>
      <w:bookmarkStart w:id="132" w:name="_Toc408749912"/>
      <w:bookmarkStart w:id="133" w:name="_Toc23946973"/>
      <w:bookmarkStart w:id="134" w:name="_Toc29667"/>
      <w:bookmarkStart w:id="135" w:name="_Toc23390"/>
      <w:bookmarkStart w:id="136" w:name="_Toc22847"/>
      <w:bookmarkStart w:id="137" w:name="_Toc667"/>
      <w:r>
        <w:rPr>
          <w:rFonts w:hint="eastAsia" w:ascii="Times New Roman" w:hAnsi="Times New Roman" w:eastAsia="黑体"/>
          <w:sz w:val="28"/>
          <w:szCs w:val="28"/>
        </w:rPr>
        <w:t>一、投资者</w:t>
      </w:r>
      <w:bookmarkEnd w:id="130"/>
      <w:bookmarkEnd w:id="131"/>
      <w:bookmarkEnd w:id="132"/>
      <w:r>
        <w:rPr>
          <w:rFonts w:hint="eastAsia" w:ascii="Times New Roman" w:hAnsi="Times New Roman" w:eastAsia="黑体"/>
          <w:sz w:val="28"/>
          <w:szCs w:val="28"/>
        </w:rPr>
        <w:t>准入条件的认定</w:t>
      </w:r>
      <w:bookmarkEnd w:id="133"/>
      <w:bookmarkEnd w:id="134"/>
      <w:bookmarkEnd w:id="135"/>
      <w:bookmarkEnd w:id="136"/>
      <w:bookmarkEnd w:id="137"/>
    </w:p>
    <w:p w14:paraId="108B7CF8">
      <w:pPr>
        <w:ind w:firstLine="560" w:firstLineChars="200"/>
        <w:rPr>
          <w:rFonts w:ascii="Times New Roman" w:hAnsi="Times New Roman" w:eastAsia="楷体_GB2312"/>
          <w:b w:val="0"/>
          <w:color w:val="auto"/>
          <w:sz w:val="28"/>
          <w:szCs w:val="28"/>
        </w:rPr>
      </w:pPr>
      <w:bookmarkStart w:id="138" w:name="_Toc406438886"/>
      <w:bookmarkStart w:id="139" w:name="_Toc408300975"/>
      <w:r>
        <w:rPr>
          <w:rFonts w:hint="default" w:ascii="Times New Roman" w:hAnsi="Times New Roman" w:eastAsia="楷体_GB2312"/>
          <w:b w:val="0"/>
          <w:color w:val="auto"/>
          <w:sz w:val="28"/>
          <w:szCs w:val="28"/>
        </w:rPr>
        <w:t>（一）个人投资者</w:t>
      </w:r>
      <w:bookmarkEnd w:id="138"/>
      <w:bookmarkEnd w:id="139"/>
    </w:p>
    <w:p w14:paraId="5466E5CC">
      <w:pPr>
        <w:ind w:firstLine="560" w:firstLineChars="200"/>
        <w:rPr>
          <w:rFonts w:ascii="仿宋_GB2312" w:eastAsia="仿宋_GB2312"/>
          <w:color w:val="000000"/>
          <w:sz w:val="28"/>
          <w:szCs w:val="28"/>
        </w:rPr>
      </w:pPr>
      <w:r>
        <w:rPr>
          <w:rFonts w:hint="eastAsia" w:ascii="仿宋_GB2312" w:eastAsia="仿宋_GB2312"/>
          <w:color w:val="000000"/>
          <w:sz w:val="28"/>
          <w:szCs w:val="28"/>
        </w:rPr>
        <w:t>个人投资者参与</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期权交易，应当符合下列条件：</w:t>
      </w:r>
    </w:p>
    <w:p w14:paraId="08E6D268">
      <w:pPr>
        <w:ind w:firstLine="548" w:firstLineChars="196"/>
        <w:rPr>
          <w:rFonts w:ascii="仿宋_GB2312" w:hAnsi="宋体" w:eastAsia="仿宋_GB2312" w:cs="仿宋_GB2312"/>
          <w:sz w:val="28"/>
          <w:szCs w:val="28"/>
        </w:rPr>
      </w:pPr>
      <w:r>
        <w:rPr>
          <w:rFonts w:hint="eastAsia" w:ascii="仿宋_GB2312" w:hAnsi="宋体" w:eastAsia="仿宋_GB2312" w:cs="仿宋_GB2312"/>
          <w:sz w:val="28"/>
          <w:szCs w:val="28"/>
          <w:lang w:val="en-US" w:eastAsia="zh-CN"/>
        </w:rPr>
        <w:t>1.</w:t>
      </w:r>
      <w:r>
        <w:rPr>
          <w:rFonts w:hint="eastAsia" w:ascii="仿宋_GB2312" w:hAnsi="宋体" w:eastAsia="仿宋_GB2312" w:cs="仿宋_GB2312"/>
          <w:sz w:val="28"/>
          <w:szCs w:val="28"/>
        </w:rPr>
        <w:t>申请开户时托管在其委托的期权经营机构的证券市值与资金账户可用余额（不含通过融资融券交易融入的资金或证券），合计不低于人民币50万元；</w:t>
      </w:r>
    </w:p>
    <w:p w14:paraId="0EA13A7A">
      <w:pPr>
        <w:ind w:firstLine="548" w:firstLineChars="196"/>
        <w:rPr>
          <w:rFonts w:hint="eastAsia" w:ascii="仿宋_GB2312" w:hAnsi="宋体" w:eastAsia="仿宋_GB2312" w:cs="仿宋_GB2312"/>
          <w:color w:val="000000"/>
          <w:sz w:val="28"/>
          <w:szCs w:val="28"/>
        </w:rPr>
      </w:pPr>
      <w:r>
        <w:rPr>
          <w:rFonts w:hint="eastAsia" w:ascii="仿宋_GB2312" w:hAnsi="宋体" w:eastAsia="仿宋_GB2312" w:cs="仿宋_GB2312"/>
          <w:sz w:val="28"/>
          <w:szCs w:val="28"/>
        </w:rPr>
        <w:t>认定标准：个人投资者在</w:t>
      </w:r>
      <w:r>
        <w:rPr>
          <w:rFonts w:hint="eastAsia" w:ascii="仿宋_GB2312" w:hAnsi="宋体" w:eastAsia="仿宋_GB2312" w:cs="仿宋_GB2312"/>
          <w:color w:val="000000"/>
          <w:sz w:val="28"/>
          <w:szCs w:val="28"/>
        </w:rPr>
        <w:t>期货公司开户的，以托管在期货公司上一交易日日终或当天的资金账户可用余额（包括保证金可用余额）为依据。</w:t>
      </w:r>
    </w:p>
    <w:p w14:paraId="61C8DBBC">
      <w:pPr>
        <w:ind w:firstLine="548" w:firstLineChars="196"/>
        <w:rPr>
          <w:rFonts w:hint="eastAsia" w:ascii="仿宋_GB2312" w:hAnsi="宋体" w:eastAsia="仿宋_GB2312" w:cs="仿宋_GB2312"/>
          <w:color w:val="000000"/>
          <w:sz w:val="28"/>
          <w:szCs w:val="28"/>
          <w:lang w:eastAsia="zh-CN"/>
        </w:rPr>
      </w:pPr>
      <w:r>
        <w:rPr>
          <w:rFonts w:hint="eastAsia" w:ascii="仿宋_GB2312" w:hAnsi="宋体" w:eastAsia="仿宋_GB2312" w:cs="仿宋_GB2312"/>
          <w:color w:val="000000"/>
          <w:sz w:val="28"/>
          <w:szCs w:val="28"/>
          <w:lang w:eastAsia="zh-CN"/>
        </w:rPr>
        <w:t>已开立深市衍生品合约账户的投资者，视同符合本条要求。</w:t>
      </w:r>
    </w:p>
    <w:p w14:paraId="58857145">
      <w:pPr>
        <w:pStyle w:val="12"/>
        <w:widowControl/>
        <w:rPr>
          <w:rFonts w:ascii="仿宋_GB2312" w:hAnsi="宋体" w:eastAsia="仿宋_GB2312" w:cs="仿宋_GB2312"/>
          <w:sz w:val="28"/>
          <w:szCs w:val="28"/>
        </w:rPr>
      </w:pPr>
      <w:r>
        <w:rPr>
          <w:rFonts w:hint="eastAsia" w:ascii="仿宋_GB2312" w:hAnsi="宋体" w:eastAsia="仿宋_GB2312" w:cs="仿宋_GB2312"/>
          <w:sz w:val="28"/>
          <w:szCs w:val="28"/>
        </w:rPr>
        <w:t xml:space="preserve">   </w:t>
      </w:r>
      <w:r>
        <w:rPr>
          <w:rFonts w:hint="eastAsia" w:ascii="仿宋_GB2312" w:hAnsi="宋体" w:eastAsia="仿宋_GB2312" w:cs="仿宋_GB2312"/>
          <w:sz w:val="28"/>
          <w:szCs w:val="28"/>
          <w:lang w:val="en-US" w:eastAsia="zh-CN"/>
        </w:rPr>
        <w:t>2.</w:t>
      </w:r>
      <w:r>
        <w:rPr>
          <w:rFonts w:hint="eastAsia" w:ascii="仿宋_GB2312" w:hAnsi="宋体" w:eastAsia="仿宋_GB2312" w:cs="仿宋_GB2312"/>
          <w:color w:val="000000"/>
          <w:sz w:val="28"/>
          <w:szCs w:val="28"/>
        </w:rPr>
        <w:t>指定交易在证券公司6个月以上并具备融资融券业务参与资格或者金融期货交易经历；或者在期货公司开户6个月以上并具有金融期货交易经历；</w:t>
      </w:r>
    </w:p>
    <w:p w14:paraId="1FC582B3">
      <w:pPr>
        <w:pStyle w:val="12"/>
        <w:widowControl/>
        <w:ind w:firstLine="560"/>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rPr>
        <w:t>认定标准：指定交易在本公司或其他期货公司开户合计满六个月；具备本公司或其他公司融资融券业务参与资格或者至少有一次金融期货交易经历。</w:t>
      </w:r>
    </w:p>
    <w:p w14:paraId="3B7543E8">
      <w:pPr>
        <w:widowControl/>
        <w:ind w:firstLine="548" w:firstLineChars="196"/>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lang w:eastAsia="zh-CN"/>
        </w:rPr>
        <w:t>已开立深市衍生品合约账户的投资者，视同符合本条要求。</w:t>
      </w:r>
    </w:p>
    <w:p w14:paraId="03CA5297">
      <w:pPr>
        <w:pStyle w:val="12"/>
        <w:widowControl/>
        <w:rPr>
          <w:rFonts w:ascii="仿宋_GB2312" w:hAnsi="宋体" w:eastAsia="仿宋_GB2312" w:cs="仿宋_GB2312"/>
          <w:sz w:val="28"/>
          <w:szCs w:val="28"/>
        </w:rPr>
      </w:pPr>
      <w:r>
        <w:rPr>
          <w:rFonts w:hint="eastAsia" w:ascii="仿宋_GB2312" w:hAnsi="宋体" w:eastAsia="仿宋_GB2312" w:cs="仿宋_GB2312"/>
          <w:sz w:val="28"/>
          <w:szCs w:val="28"/>
        </w:rPr>
        <w:t xml:space="preserve">   </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color w:val="000000"/>
          <w:sz w:val="28"/>
          <w:szCs w:val="28"/>
        </w:rPr>
        <w:t>具备</w:t>
      </w:r>
      <w:r>
        <w:rPr>
          <w:rFonts w:hint="eastAsia" w:ascii="仿宋_GB2312" w:hAnsi="宋体" w:eastAsia="仿宋_GB2312" w:cs="仿宋_GB2312"/>
          <w:color w:val="000000"/>
          <w:sz w:val="28"/>
          <w:szCs w:val="28"/>
          <w:lang w:eastAsia="zh-CN"/>
        </w:rPr>
        <w:t>股票</w:t>
      </w:r>
      <w:r>
        <w:rPr>
          <w:rFonts w:hint="eastAsia" w:ascii="仿宋_GB2312" w:hAnsi="宋体" w:eastAsia="仿宋_GB2312" w:cs="仿宋_GB2312"/>
          <w:color w:val="000000"/>
          <w:sz w:val="28"/>
          <w:szCs w:val="28"/>
        </w:rPr>
        <w:t>期权基础知识，通过本所认可的相关测试</w:t>
      </w:r>
      <w:r>
        <w:rPr>
          <w:rFonts w:hint="eastAsia" w:ascii="仿宋_GB2312" w:hAnsi="宋体" w:eastAsia="仿宋_GB2312" w:cs="仿宋_GB2312"/>
          <w:sz w:val="28"/>
          <w:szCs w:val="28"/>
        </w:rPr>
        <w:t>；</w:t>
      </w:r>
    </w:p>
    <w:p w14:paraId="722D4147">
      <w:pPr>
        <w:pStyle w:val="12"/>
        <w:widowControl/>
        <w:ind w:firstLine="560"/>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rPr>
        <w:t>认定标准：</w:t>
      </w:r>
      <w:r>
        <w:rPr>
          <w:rFonts w:hint="eastAsia" w:ascii="仿宋_GB2312" w:hAnsi="宋体" w:eastAsia="仿宋_GB2312"/>
          <w:color w:val="000000"/>
          <w:sz w:val="28"/>
          <w:szCs w:val="28"/>
        </w:rPr>
        <w:t>目前本所组织的</w:t>
      </w:r>
      <w:r>
        <w:rPr>
          <w:rFonts w:hint="eastAsia" w:ascii="仿宋_GB2312" w:hAnsi="宋体" w:eastAsia="仿宋_GB2312"/>
          <w:color w:val="000000"/>
          <w:sz w:val="28"/>
          <w:szCs w:val="28"/>
          <w:lang w:eastAsia="zh-CN"/>
        </w:rPr>
        <w:t>股票</w:t>
      </w:r>
      <w:r>
        <w:rPr>
          <w:rFonts w:hint="eastAsia" w:ascii="仿宋_GB2312" w:hAnsi="宋体" w:eastAsia="仿宋_GB2312"/>
          <w:color w:val="000000"/>
          <w:sz w:val="28"/>
          <w:szCs w:val="28"/>
        </w:rPr>
        <w:t>期权知识测试有两种形式，期权经营机构在营业部组织的网上</w:t>
      </w:r>
      <w:r>
        <w:rPr>
          <w:rFonts w:hint="eastAsia" w:ascii="仿宋_GB2312" w:hAnsi="宋体" w:eastAsia="仿宋_GB2312"/>
          <w:color w:val="000000"/>
          <w:sz w:val="28"/>
          <w:szCs w:val="28"/>
          <w:lang w:eastAsia="zh-CN"/>
        </w:rPr>
        <w:t>股票</w:t>
      </w:r>
      <w:r>
        <w:rPr>
          <w:rFonts w:hint="eastAsia" w:ascii="仿宋_GB2312" w:hAnsi="宋体" w:eastAsia="仿宋_GB2312"/>
          <w:color w:val="000000"/>
          <w:sz w:val="28"/>
          <w:szCs w:val="28"/>
        </w:rPr>
        <w:t>期权知识测试和本所统一组织的现场培训测试。通过知识测试的投资者，</w:t>
      </w:r>
      <w:r>
        <w:rPr>
          <w:rFonts w:hint="eastAsia" w:ascii="仿宋_GB2312" w:hAnsi="宋体" w:eastAsia="仿宋_GB2312" w:cs="仿宋_GB2312"/>
          <w:color w:val="000000"/>
          <w:sz w:val="28"/>
          <w:szCs w:val="28"/>
        </w:rPr>
        <w:t>知识测试成绩长期有效，并可用于在其他期权经营机构申请开户。期货公司可登陆本所</w:t>
      </w:r>
      <w:r>
        <w:rPr>
          <w:rFonts w:hint="default" w:ascii="Times New Roman" w:hAnsi="Times New Roman" w:eastAsia="仿宋_GB2312"/>
          <w:color w:val="auto"/>
          <w:sz w:val="28"/>
          <w:szCs w:val="28"/>
        </w:rPr>
        <w:t>会员数据服务平台（https://mip.sseinfo.com/）</w:t>
      </w:r>
      <w:r>
        <w:rPr>
          <w:rFonts w:hint="eastAsia" w:ascii="仿宋_GB2312" w:hAnsi="宋体" w:eastAsia="仿宋_GB2312" w:cs="仿宋_GB2312"/>
          <w:color w:val="000000"/>
          <w:sz w:val="28"/>
          <w:szCs w:val="28"/>
        </w:rPr>
        <w:t>查询指定交易在本单位的投资者的知识测试成绩；个人投资者可通过本所</w:t>
      </w:r>
      <w:r>
        <w:rPr>
          <w:rFonts w:hint="default" w:ascii="Times New Roman" w:hAnsi="Times New Roman" w:eastAsia="仿宋_GB2312"/>
          <w:color w:val="auto"/>
          <w:sz w:val="28"/>
          <w:szCs w:val="28"/>
        </w:rPr>
        <w:t>投资者一网通办平台“期权测试成绩查询”（https://one.sse.com.cn/investor/#/optionExam）</w:t>
      </w:r>
      <w:r>
        <w:rPr>
          <w:rFonts w:hint="eastAsia" w:ascii="仿宋_GB2312" w:hAnsi="宋体" w:eastAsia="仿宋_GB2312" w:cs="仿宋_GB2312"/>
          <w:color w:val="000000"/>
          <w:sz w:val="28"/>
          <w:szCs w:val="28"/>
        </w:rPr>
        <w:t>入口查询本人测试成绩。</w:t>
      </w:r>
    </w:p>
    <w:p w14:paraId="70804C9D">
      <w:pPr>
        <w:widowControl/>
        <w:ind w:firstLine="548" w:firstLineChars="196"/>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lang w:eastAsia="zh-CN"/>
        </w:rPr>
        <w:t>已开立深市衍生品合约账户或有中国金融期货交易所交易编码的投资者，视同符合本条要求。</w:t>
      </w:r>
    </w:p>
    <w:p w14:paraId="3E6D78CF">
      <w:pPr>
        <w:pStyle w:val="12"/>
        <w:widowControl/>
        <w:rPr>
          <w:rFonts w:ascii="仿宋_GB2312" w:hAnsi="宋体" w:eastAsia="仿宋_GB2312" w:cs="仿宋_GB2312"/>
          <w:sz w:val="28"/>
          <w:szCs w:val="28"/>
        </w:rPr>
      </w:pPr>
      <w:r>
        <w:rPr>
          <w:rFonts w:hint="eastAsia" w:ascii="仿宋_GB2312" w:hAnsi="宋体" w:eastAsia="仿宋_GB2312" w:cs="仿宋_GB2312"/>
          <w:sz w:val="28"/>
          <w:szCs w:val="28"/>
        </w:rPr>
        <w:t xml:space="preserve">    </w:t>
      </w:r>
      <w:r>
        <w:rPr>
          <w:rFonts w:hint="eastAsia" w:ascii="仿宋_GB2312" w:hAnsi="宋体" w:eastAsia="仿宋_GB2312" w:cs="仿宋_GB2312"/>
          <w:sz w:val="28"/>
          <w:szCs w:val="28"/>
          <w:lang w:val="en-US" w:eastAsia="zh-CN"/>
        </w:rPr>
        <w:t>4.</w:t>
      </w:r>
      <w:r>
        <w:rPr>
          <w:rFonts w:hint="eastAsia" w:ascii="仿宋_GB2312" w:hAnsi="宋体" w:eastAsia="仿宋_GB2312" w:cs="仿宋_GB2312"/>
          <w:sz w:val="28"/>
          <w:szCs w:val="28"/>
        </w:rPr>
        <w:t>具有本所认可的</w:t>
      </w:r>
      <w:r>
        <w:rPr>
          <w:rFonts w:hint="eastAsia" w:ascii="仿宋_GB2312" w:hAnsi="宋体" w:eastAsia="仿宋_GB2312" w:cs="仿宋_GB2312"/>
          <w:sz w:val="28"/>
          <w:szCs w:val="28"/>
          <w:lang w:eastAsia="zh-CN"/>
        </w:rPr>
        <w:t>股票</w:t>
      </w:r>
      <w:r>
        <w:rPr>
          <w:rFonts w:hint="eastAsia" w:ascii="仿宋_GB2312" w:hAnsi="宋体" w:eastAsia="仿宋_GB2312" w:cs="仿宋_GB2312"/>
          <w:sz w:val="28"/>
          <w:szCs w:val="28"/>
        </w:rPr>
        <w:t>期权模拟交易经历；</w:t>
      </w:r>
    </w:p>
    <w:p w14:paraId="0A3251DD">
      <w:pPr>
        <w:pStyle w:val="12"/>
        <w:widowControl/>
        <w:ind w:firstLine="560"/>
        <w:rPr>
          <w:rFonts w:hint="eastAsia" w:ascii="仿宋_GB2312" w:hAnsi="宋体" w:eastAsia="仿宋_GB2312" w:cs="仿宋_GB2312"/>
          <w:sz w:val="28"/>
          <w:szCs w:val="28"/>
        </w:rPr>
      </w:pPr>
      <w:r>
        <w:rPr>
          <w:rFonts w:hint="eastAsia" w:ascii="仿宋_GB2312" w:hAnsi="宋体" w:eastAsia="仿宋_GB2312" w:cs="仿宋_GB2312"/>
          <w:sz w:val="28"/>
          <w:szCs w:val="28"/>
        </w:rPr>
        <w:t>认定标准：投资者</w:t>
      </w:r>
      <w:r>
        <w:rPr>
          <w:rFonts w:hint="eastAsia" w:ascii="仿宋_GB2312" w:hAnsi="宋体" w:eastAsia="仿宋_GB2312" w:cs="仿宋_GB2312"/>
          <w:sz w:val="28"/>
          <w:szCs w:val="28"/>
          <w:lang w:eastAsia="zh-CN"/>
        </w:rPr>
        <w:t>股票</w:t>
      </w:r>
      <w:r>
        <w:rPr>
          <w:rFonts w:hint="eastAsia" w:ascii="仿宋_GB2312" w:hAnsi="宋体" w:eastAsia="仿宋_GB2312" w:cs="仿宋_GB2312"/>
          <w:sz w:val="28"/>
          <w:szCs w:val="28"/>
        </w:rPr>
        <w:t>期权模拟交易经历，依据其参与本所</w:t>
      </w:r>
      <w:r>
        <w:rPr>
          <w:rFonts w:hint="eastAsia" w:ascii="仿宋_GB2312" w:hAnsi="宋体" w:eastAsia="仿宋_GB2312" w:cs="仿宋_GB2312"/>
          <w:sz w:val="28"/>
          <w:szCs w:val="28"/>
          <w:lang w:eastAsia="zh-CN"/>
        </w:rPr>
        <w:t>股票</w:t>
      </w:r>
      <w:r>
        <w:rPr>
          <w:rFonts w:hint="eastAsia" w:ascii="仿宋_GB2312" w:hAnsi="宋体" w:eastAsia="仿宋_GB2312" w:cs="仿宋_GB2312"/>
          <w:sz w:val="28"/>
          <w:szCs w:val="28"/>
        </w:rPr>
        <w:t>期权模拟交易的记录数据予以核定。期货公司</w:t>
      </w:r>
      <w:r>
        <w:rPr>
          <w:rFonts w:hint="eastAsia" w:ascii="仿宋_GB2312" w:hAnsi="宋体" w:eastAsia="仿宋_GB2312" w:cs="仿宋_GB2312"/>
          <w:color w:val="000000"/>
          <w:sz w:val="28"/>
          <w:szCs w:val="28"/>
        </w:rPr>
        <w:t>可登陆本所会员信息服务平台查询指定交易在本公司的投资者的模拟交易经历</w:t>
      </w:r>
      <w:r>
        <w:rPr>
          <w:rFonts w:hint="eastAsia" w:ascii="仿宋_GB2312" w:hAnsi="宋体" w:eastAsia="仿宋_GB2312" w:cs="仿宋_GB2312"/>
          <w:sz w:val="28"/>
          <w:szCs w:val="28"/>
        </w:rPr>
        <w:t>。查询页面直接显示投资者模拟交易经历对应的级别，期货公司无需再查询模拟交易细节。模拟交易经历对应的级别以本所系统显示为准。</w:t>
      </w:r>
    </w:p>
    <w:p w14:paraId="5886C981">
      <w:pPr>
        <w:pStyle w:val="12"/>
        <w:widowControl/>
        <w:ind w:firstLine="560"/>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rPr>
        <w:t>若投资者除“行权”经历外，已满足开户所需的其他适当性准入条件，且投资者书面承诺“在期权模拟交易下一个行权日完成行权操作”的，期权经营机构可先行为其开户。期权经营机构应当督促投资者在下一个行权日完成</w:t>
      </w:r>
      <w:r>
        <w:rPr>
          <w:rFonts w:hint="eastAsia" w:ascii="仿宋_GB2312" w:hAnsi="宋体" w:eastAsia="仿宋_GB2312" w:cs="仿宋_GB2312"/>
          <w:color w:val="000000"/>
          <w:sz w:val="28"/>
          <w:szCs w:val="28"/>
          <w:highlight w:val="none"/>
          <w:lang w:val="en-US" w:eastAsia="zh-CN"/>
        </w:rPr>
        <w:t>模拟交易的</w:t>
      </w:r>
      <w:r>
        <w:rPr>
          <w:rFonts w:hint="eastAsia" w:ascii="仿宋_GB2312" w:hAnsi="宋体" w:eastAsia="仿宋_GB2312" w:cs="仿宋_GB2312"/>
          <w:color w:val="000000"/>
          <w:sz w:val="28"/>
          <w:szCs w:val="28"/>
        </w:rPr>
        <w:t>“行权”操作。</w:t>
      </w:r>
    </w:p>
    <w:p w14:paraId="282EF5BF">
      <w:pPr>
        <w:widowControl/>
        <w:ind w:firstLine="548" w:firstLineChars="196"/>
        <w:rPr>
          <w:rFonts w:hint="eastAsia" w:ascii="华文仿宋" w:hAnsi="华文仿宋" w:eastAsia="华文仿宋"/>
          <w:sz w:val="28"/>
          <w:szCs w:val="28"/>
        </w:rPr>
      </w:pPr>
      <w:r>
        <w:rPr>
          <w:rFonts w:hint="eastAsia" w:ascii="仿宋_GB2312" w:hAnsi="宋体" w:eastAsia="仿宋_GB2312" w:cs="仿宋_GB2312"/>
          <w:color w:val="000000"/>
          <w:sz w:val="28"/>
          <w:szCs w:val="28"/>
          <w:lang w:eastAsia="zh-CN"/>
        </w:rPr>
        <w:t>已开立深市衍生品合约账户的投资者，视同符合本条要求。</w:t>
      </w:r>
    </w:p>
    <w:p w14:paraId="153049E4">
      <w:pPr>
        <w:pStyle w:val="12"/>
        <w:widowControl/>
        <w:rPr>
          <w:rFonts w:ascii="仿宋_GB2312" w:hAnsi="宋体" w:eastAsia="仿宋_GB2312" w:cs="仿宋_GB2312"/>
          <w:sz w:val="28"/>
          <w:szCs w:val="28"/>
        </w:rPr>
      </w:pPr>
      <w:r>
        <w:rPr>
          <w:rFonts w:hint="eastAsia" w:ascii="仿宋_GB2312" w:hAnsi="宋体" w:eastAsia="仿宋_GB2312" w:cs="仿宋_GB2312"/>
          <w:sz w:val="28"/>
          <w:szCs w:val="28"/>
        </w:rPr>
        <w:t xml:space="preserve">    </w:t>
      </w:r>
      <w:r>
        <w:rPr>
          <w:rFonts w:hint="eastAsia" w:ascii="仿宋_GB2312" w:hAnsi="宋体" w:eastAsia="仿宋_GB2312" w:cs="仿宋_GB2312"/>
          <w:sz w:val="28"/>
          <w:szCs w:val="28"/>
          <w:lang w:val="en-US" w:eastAsia="zh-CN"/>
        </w:rPr>
        <w:t>5.</w:t>
      </w:r>
      <w:r>
        <w:rPr>
          <w:rFonts w:hint="eastAsia" w:ascii="仿宋_GB2312" w:hAnsi="宋体" w:eastAsia="仿宋_GB2312" w:cs="仿宋_GB2312"/>
          <w:sz w:val="28"/>
          <w:szCs w:val="28"/>
        </w:rPr>
        <w:t>具有相应的风险承受能力；</w:t>
      </w:r>
    </w:p>
    <w:p w14:paraId="169A16CD">
      <w:pPr>
        <w:ind w:firstLine="548" w:firstLineChars="196"/>
        <w:rPr>
          <w:rFonts w:hint="eastAsia" w:ascii="仿宋_GB2312" w:eastAsia="仿宋_GB2312"/>
          <w:color w:val="000000"/>
          <w:sz w:val="28"/>
          <w:szCs w:val="28"/>
        </w:rPr>
      </w:pPr>
      <w:r>
        <w:rPr>
          <w:rFonts w:hint="eastAsia" w:ascii="仿宋_GB2312" w:hAnsi="宋体" w:eastAsia="仿宋_GB2312" w:cs="仿宋_GB2312"/>
          <w:color w:val="000000"/>
          <w:sz w:val="28"/>
          <w:szCs w:val="28"/>
        </w:rPr>
        <w:t>认定标准:</w:t>
      </w:r>
      <w:r>
        <w:rPr>
          <w:rFonts w:hint="eastAsia" w:ascii="仿宋_GB2312" w:eastAsia="仿宋_GB2312"/>
          <w:color w:val="000000"/>
          <w:sz w:val="28"/>
          <w:szCs w:val="28"/>
        </w:rPr>
        <w:t xml:space="preserve"> 期货公司应当对投资者的风险承受能力进行评估。1年内对该投资者进行过风险承受能力评估的，可不重做评估。对于风险承受能力评估中未达“稳健”或相应等级的投资者，建议期货公司不为其开立</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w:t>
      </w:r>
      <w:r>
        <w:rPr>
          <w:rFonts w:hint="eastAsia" w:ascii="仿宋_GB2312" w:eastAsia="仿宋_GB2312"/>
          <w:color w:val="000000"/>
          <w:sz w:val="28"/>
          <w:szCs w:val="28"/>
          <w:lang w:eastAsia="zh-CN"/>
        </w:rPr>
        <w:t>账户</w:t>
      </w:r>
      <w:r>
        <w:rPr>
          <w:rFonts w:hint="eastAsia" w:ascii="仿宋_GB2312" w:eastAsia="仿宋_GB2312"/>
          <w:color w:val="000000"/>
          <w:sz w:val="28"/>
          <w:szCs w:val="28"/>
        </w:rPr>
        <w:t>。</w:t>
      </w:r>
    </w:p>
    <w:p w14:paraId="27027B5A">
      <w:pPr>
        <w:widowControl/>
        <w:ind w:firstLine="548" w:firstLineChars="196"/>
        <w:rPr>
          <w:rFonts w:hint="eastAsia" w:ascii="仿宋_GB2312" w:eastAsia="仿宋_GB2312"/>
          <w:color w:val="000000"/>
          <w:sz w:val="28"/>
          <w:szCs w:val="28"/>
        </w:rPr>
      </w:pPr>
      <w:r>
        <w:rPr>
          <w:rFonts w:hint="eastAsia" w:ascii="仿宋_GB2312" w:hAnsi="宋体" w:eastAsia="仿宋_GB2312" w:cs="仿宋_GB2312"/>
          <w:color w:val="000000"/>
          <w:sz w:val="28"/>
          <w:szCs w:val="28"/>
          <w:lang w:eastAsia="zh-CN"/>
        </w:rPr>
        <w:t>已开立深市衍生品合约账户的投资者，视同符合本条要求。</w:t>
      </w:r>
    </w:p>
    <w:p w14:paraId="5AEE06BC">
      <w:pPr>
        <w:pStyle w:val="12"/>
        <w:widowControl/>
        <w:ind w:firstLine="549"/>
        <w:rPr>
          <w:rFonts w:ascii="仿宋_GB2312" w:hAnsi="宋体" w:eastAsia="仿宋_GB2312" w:cs="仿宋_GB2312"/>
          <w:sz w:val="28"/>
          <w:szCs w:val="28"/>
        </w:rPr>
      </w:pPr>
      <w:r>
        <w:rPr>
          <w:rFonts w:hint="eastAsia" w:ascii="仿宋_GB2312" w:hAnsi="宋体" w:eastAsia="仿宋_GB2312" w:cs="仿宋_GB2312"/>
          <w:sz w:val="28"/>
          <w:szCs w:val="28"/>
          <w:lang w:val="en-US" w:eastAsia="zh-CN"/>
        </w:rPr>
        <w:t>6.</w:t>
      </w:r>
      <w:r>
        <w:rPr>
          <w:rFonts w:hint="eastAsia" w:ascii="仿宋_GB2312" w:hAnsi="宋体" w:eastAsia="仿宋_GB2312" w:cs="仿宋_GB2312"/>
          <w:sz w:val="28"/>
          <w:szCs w:val="28"/>
        </w:rPr>
        <w:t>不存在严重不良诚信记录，不存在法律、法规、规章和本所业务规则禁止或者限制从事</w:t>
      </w:r>
      <w:r>
        <w:rPr>
          <w:rFonts w:hint="eastAsia" w:ascii="仿宋_GB2312" w:hAnsi="宋体" w:eastAsia="仿宋_GB2312" w:cs="仿宋_GB2312"/>
          <w:sz w:val="28"/>
          <w:szCs w:val="28"/>
          <w:lang w:eastAsia="zh-CN"/>
        </w:rPr>
        <w:t>股票</w:t>
      </w:r>
      <w:r>
        <w:rPr>
          <w:rFonts w:hint="eastAsia" w:ascii="仿宋_GB2312" w:hAnsi="宋体" w:eastAsia="仿宋_GB2312" w:cs="仿宋_GB2312"/>
          <w:sz w:val="28"/>
          <w:szCs w:val="28"/>
        </w:rPr>
        <w:t>期权交易的情形；</w:t>
      </w:r>
    </w:p>
    <w:p w14:paraId="540EAFE1">
      <w:pPr>
        <w:widowControl/>
        <w:shd w:val="clear" w:color="auto" w:fill="FFFFFF"/>
        <w:spacing w:after="150" w:line="336" w:lineRule="atLeast"/>
        <w:ind w:firstLine="560" w:firstLineChars="200"/>
        <w:jc w:val="left"/>
        <w:rPr>
          <w:rFonts w:ascii="仿宋_GB2312" w:hAnsi="宋体" w:eastAsia="仿宋_GB2312"/>
          <w:sz w:val="28"/>
          <w:szCs w:val="28"/>
        </w:rPr>
      </w:pPr>
      <w:r>
        <w:rPr>
          <w:rFonts w:hint="eastAsia" w:ascii="仿宋_GB2312" w:hAnsi="宋体" w:eastAsia="仿宋_GB2312" w:cs="仿宋_GB2312"/>
          <w:sz w:val="28"/>
          <w:szCs w:val="28"/>
        </w:rPr>
        <w:t>认定标准：期货公司可以通过中国期货业协会行业信息管理平台查询客户信息。法律、法规、规章禁止或者限制从事</w:t>
      </w:r>
      <w:r>
        <w:rPr>
          <w:rFonts w:hint="eastAsia" w:ascii="仿宋_GB2312" w:hAnsi="宋体" w:eastAsia="仿宋_GB2312" w:cs="仿宋_GB2312"/>
          <w:sz w:val="28"/>
          <w:szCs w:val="28"/>
          <w:lang w:eastAsia="zh-CN"/>
        </w:rPr>
        <w:t>股票</w:t>
      </w:r>
      <w:r>
        <w:rPr>
          <w:rFonts w:hint="eastAsia" w:ascii="仿宋_GB2312" w:hAnsi="宋体" w:eastAsia="仿宋_GB2312" w:cs="仿宋_GB2312"/>
          <w:sz w:val="28"/>
          <w:szCs w:val="28"/>
        </w:rPr>
        <w:t>期权交易的情形，如</w:t>
      </w:r>
      <w:r>
        <w:rPr>
          <w:rFonts w:hint="eastAsia" w:ascii="仿宋_GB2312" w:hAnsi="宋体" w:eastAsia="仿宋_GB2312"/>
          <w:sz w:val="28"/>
          <w:szCs w:val="28"/>
        </w:rPr>
        <w:t>国家外汇管理局《关于改革外商投资企业外汇资本金结汇管理方式的通知》规定，</w:t>
      </w:r>
      <w:r>
        <w:rPr>
          <w:rFonts w:hint="eastAsia" w:ascii="仿宋_GB2312" w:hAnsi="宋体" w:eastAsia="仿宋_GB2312" w:cs="仿宋_GB2312"/>
          <w:sz w:val="28"/>
          <w:szCs w:val="28"/>
        </w:rPr>
        <w:t>外商投资企业资本金及其结汇所得人民币资金不得直接或间接用于证券投资。</w:t>
      </w:r>
      <w:r>
        <w:rPr>
          <w:rFonts w:hint="eastAsia" w:ascii="仿宋_GB2312" w:hAnsi="宋体" w:eastAsia="仿宋_GB2312"/>
          <w:sz w:val="28"/>
          <w:szCs w:val="28"/>
        </w:rPr>
        <w:t>期货公司应当加强外商投资企业客户的资金来源核查工作，必要时可以要求客户提交相关承诺书。</w:t>
      </w:r>
      <w:r>
        <w:rPr>
          <w:rFonts w:ascii="仿宋_GB2312" w:hAnsi="宋体" w:eastAsia="仿宋_GB2312"/>
          <w:sz w:val="28"/>
          <w:szCs w:val="28"/>
        </w:rPr>
        <w:t xml:space="preserve"> </w:t>
      </w:r>
    </w:p>
    <w:p w14:paraId="7FF38CB7">
      <w:pPr>
        <w:ind w:firstLine="560" w:firstLineChars="200"/>
        <w:rPr>
          <w:rFonts w:hint="eastAsia" w:ascii="仿宋_GB2312" w:hAnsi="宋体" w:eastAsia="仿宋_GB2312"/>
          <w:sz w:val="28"/>
          <w:szCs w:val="24"/>
          <w:lang w:eastAsia="zh-CN"/>
        </w:rPr>
      </w:pPr>
      <w:r>
        <w:rPr>
          <w:rFonts w:hint="eastAsia" w:ascii="仿宋_GB2312" w:eastAsia="仿宋_GB2312"/>
          <w:color w:val="000000"/>
          <w:sz w:val="28"/>
          <w:szCs w:val="28"/>
        </w:rPr>
        <w:t>7.</w:t>
      </w:r>
      <w:r>
        <w:rPr>
          <w:rFonts w:hint="eastAsia" w:ascii="仿宋_GB2312" w:hAnsi="宋体" w:eastAsia="仿宋_GB2312"/>
          <w:sz w:val="28"/>
          <w:szCs w:val="24"/>
        </w:rPr>
        <w:t>本所规定的其他条件</w:t>
      </w:r>
      <w:r>
        <w:rPr>
          <w:rFonts w:hint="eastAsia" w:ascii="仿宋_GB2312" w:hAnsi="宋体" w:eastAsia="仿宋_GB2312"/>
          <w:sz w:val="28"/>
          <w:szCs w:val="24"/>
          <w:lang w:eastAsia="zh-CN"/>
        </w:rPr>
        <w:t>。</w:t>
      </w:r>
    </w:p>
    <w:p w14:paraId="3CF5BD7F">
      <w:pPr>
        <w:pStyle w:val="12"/>
        <w:widowControl/>
        <w:ind w:firstLine="565" w:firstLineChars="202"/>
        <w:rPr>
          <w:rFonts w:ascii="仿宋_GB2312" w:eastAsia="仿宋_GB2312" w:cs="仿宋_GB2312"/>
          <w:sz w:val="28"/>
          <w:szCs w:val="28"/>
        </w:rPr>
      </w:pPr>
      <w:r>
        <w:rPr>
          <w:rFonts w:hint="eastAsia" w:ascii="仿宋_GB2312" w:eastAsia="仿宋_GB2312"/>
          <w:color w:val="000000"/>
          <w:sz w:val="28"/>
          <w:szCs w:val="28"/>
        </w:rPr>
        <w:t>个人投资者参与</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期权交易，应当通过期货公司组织的</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期权投资者适当性综合评估。</w:t>
      </w:r>
      <w:r>
        <w:rPr>
          <w:rFonts w:hint="eastAsia" w:ascii="仿宋_GB2312" w:hAnsi="宋体" w:eastAsia="仿宋_GB2312" w:cs="仿宋_GB2312"/>
          <w:color w:val="000000"/>
          <w:sz w:val="28"/>
          <w:szCs w:val="28"/>
        </w:rPr>
        <w:t>港</w:t>
      </w:r>
      <w:r>
        <w:rPr>
          <w:rFonts w:hint="eastAsia" w:ascii="仿宋_GB2312" w:hAnsi="宋体" w:eastAsia="仿宋_GB2312" w:cs="仿宋_GB2312"/>
          <w:color w:val="000000"/>
          <w:kern w:val="0"/>
          <w:sz w:val="28"/>
          <w:szCs w:val="28"/>
        </w:rPr>
        <w:t>澳台投资者只要满足《上海证券交易所股票期权试点投资者适当性管理指引》相关要求，可参与</w:t>
      </w:r>
      <w:r>
        <w:rPr>
          <w:rFonts w:hint="eastAsia" w:ascii="仿宋_GB2312" w:hAnsi="宋体" w:eastAsia="仿宋_GB2312" w:cs="仿宋_GB2312"/>
          <w:color w:val="000000"/>
          <w:kern w:val="0"/>
          <w:sz w:val="28"/>
          <w:szCs w:val="28"/>
          <w:lang w:eastAsia="zh-CN"/>
        </w:rPr>
        <w:t>股票</w:t>
      </w:r>
      <w:r>
        <w:rPr>
          <w:rFonts w:hint="eastAsia" w:ascii="仿宋_GB2312" w:hAnsi="宋体" w:eastAsia="仿宋_GB2312" w:cs="仿宋_GB2312"/>
          <w:color w:val="000000"/>
          <w:kern w:val="0"/>
          <w:sz w:val="28"/>
          <w:szCs w:val="28"/>
        </w:rPr>
        <w:t>期权交易。</w:t>
      </w:r>
    </w:p>
    <w:p w14:paraId="31181BC6">
      <w:pPr>
        <w:ind w:firstLine="560" w:firstLineChars="200"/>
        <w:rPr>
          <w:rFonts w:ascii="Times New Roman" w:hAnsi="Times New Roman" w:eastAsia="楷体_GB2312"/>
          <w:b w:val="0"/>
          <w:color w:val="auto"/>
          <w:sz w:val="28"/>
          <w:szCs w:val="28"/>
        </w:rPr>
      </w:pPr>
      <w:bookmarkStart w:id="140" w:name="_Toc406438887"/>
      <w:bookmarkStart w:id="141" w:name="_Toc408300976"/>
      <w:r>
        <w:rPr>
          <w:rFonts w:hint="default" w:ascii="Times New Roman" w:hAnsi="Times New Roman" w:eastAsia="楷体_GB2312"/>
          <w:b w:val="0"/>
          <w:color w:val="auto"/>
          <w:sz w:val="28"/>
          <w:szCs w:val="28"/>
        </w:rPr>
        <w:t>（二）普通机构投资者</w:t>
      </w:r>
      <w:bookmarkEnd w:id="140"/>
      <w:bookmarkEnd w:id="141"/>
    </w:p>
    <w:p w14:paraId="30761CBA">
      <w:pPr>
        <w:ind w:firstLine="560" w:firstLineChars="200"/>
        <w:rPr>
          <w:rFonts w:ascii="仿宋_GB2312" w:eastAsia="仿宋_GB2312"/>
          <w:color w:val="000000"/>
          <w:sz w:val="28"/>
          <w:szCs w:val="28"/>
        </w:rPr>
      </w:pPr>
      <w:r>
        <w:rPr>
          <w:rFonts w:hint="eastAsia" w:ascii="仿宋_GB2312" w:eastAsia="仿宋_GB2312"/>
          <w:color w:val="000000"/>
          <w:sz w:val="28"/>
          <w:szCs w:val="28"/>
        </w:rPr>
        <w:t>普通机构投资者参与</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期权交易，应当符合下列条件，具体认定标准参照个人投资者执行：</w:t>
      </w:r>
    </w:p>
    <w:p w14:paraId="6FC35D97">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lang w:val="en-US" w:eastAsia="zh-CN"/>
        </w:rPr>
        <w:t>1.</w:t>
      </w:r>
      <w:r>
        <w:rPr>
          <w:rFonts w:hint="eastAsia" w:ascii="仿宋_GB2312" w:hAnsi="宋体" w:eastAsia="仿宋_GB2312" w:cs="仿宋_GB2312"/>
          <w:sz w:val="28"/>
          <w:szCs w:val="28"/>
        </w:rPr>
        <w:t>申请开户时托管在其委托的期权经营机构的证券市值与资金账户可用余额（不含通过融资融券交易融入的资金或证券），合计不低于人民币100万元</w:t>
      </w:r>
      <w:r>
        <w:rPr>
          <w:rFonts w:hint="eastAsia" w:ascii="仿宋_GB2312" w:eastAsia="仿宋_GB2312"/>
          <w:color w:val="000000"/>
          <w:sz w:val="28"/>
          <w:szCs w:val="28"/>
        </w:rPr>
        <w:t>；</w:t>
      </w:r>
    </w:p>
    <w:p w14:paraId="0EEF5F55">
      <w:pPr>
        <w:widowControl/>
        <w:ind w:firstLine="548" w:firstLineChars="196"/>
        <w:rPr>
          <w:rFonts w:hint="eastAsia" w:ascii="仿宋_GB2312" w:eastAsia="仿宋_GB2312"/>
          <w:color w:val="000000"/>
          <w:sz w:val="28"/>
          <w:szCs w:val="28"/>
        </w:rPr>
      </w:pPr>
      <w:r>
        <w:rPr>
          <w:rFonts w:hint="eastAsia" w:ascii="仿宋_GB2312" w:hAnsi="宋体" w:eastAsia="仿宋_GB2312" w:cs="仿宋_GB2312"/>
          <w:color w:val="000000"/>
          <w:sz w:val="28"/>
          <w:szCs w:val="28"/>
          <w:lang w:eastAsia="zh-CN"/>
        </w:rPr>
        <w:t>已开立深市衍生品合约账户的普通机构投资者，视同符合本条要求。</w:t>
      </w:r>
    </w:p>
    <w:p w14:paraId="361D46E0">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2.上一季度末净资产不低于人民币100万元</w:t>
      </w:r>
      <w:r>
        <w:rPr>
          <w:rFonts w:hint="eastAsia" w:ascii="仿宋_GB2312" w:hAnsi="宋体" w:eastAsia="仿宋_GB2312"/>
          <w:sz w:val="28"/>
          <w:szCs w:val="28"/>
        </w:rPr>
        <w:t>（新成立的机构取最近净资产）</w:t>
      </w:r>
      <w:r>
        <w:rPr>
          <w:rFonts w:hint="eastAsia" w:ascii="仿宋_GB2312" w:eastAsia="仿宋_GB2312"/>
          <w:color w:val="000000"/>
          <w:sz w:val="28"/>
          <w:szCs w:val="28"/>
        </w:rPr>
        <w:t>；</w:t>
      </w:r>
    </w:p>
    <w:p w14:paraId="6D015ECE">
      <w:pPr>
        <w:widowControl/>
        <w:ind w:firstLine="548" w:firstLineChars="196"/>
        <w:rPr>
          <w:rFonts w:hint="eastAsia" w:ascii="仿宋_GB2312" w:eastAsia="仿宋_GB2312"/>
          <w:color w:val="000000"/>
          <w:sz w:val="28"/>
          <w:szCs w:val="28"/>
        </w:rPr>
      </w:pPr>
      <w:r>
        <w:rPr>
          <w:rFonts w:hint="eastAsia" w:ascii="仿宋_GB2312" w:hAnsi="宋体" w:eastAsia="仿宋_GB2312" w:cs="仿宋_GB2312"/>
          <w:color w:val="000000"/>
          <w:sz w:val="28"/>
          <w:szCs w:val="28"/>
          <w:lang w:eastAsia="zh-CN"/>
        </w:rPr>
        <w:t>已开立深市衍生品合约账户的普通机构投资者，视同符合本条要求。</w:t>
      </w:r>
    </w:p>
    <w:p w14:paraId="2AD363CE">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3.相关业务人员具备</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期权基础知识，通过本所认可的相关知识测试；相关业务人员主要是指</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期权投资决策人员以及下单人员；</w:t>
      </w:r>
    </w:p>
    <w:p w14:paraId="55ABA7E9">
      <w:pPr>
        <w:widowControl/>
        <w:ind w:firstLine="548" w:firstLineChars="196"/>
        <w:rPr>
          <w:rFonts w:hint="eastAsia" w:ascii="仿宋_GB2312" w:eastAsia="仿宋_GB2312"/>
          <w:color w:val="000000"/>
          <w:sz w:val="28"/>
          <w:szCs w:val="28"/>
        </w:rPr>
      </w:pPr>
      <w:r>
        <w:rPr>
          <w:rFonts w:hint="eastAsia" w:ascii="仿宋_GB2312" w:hAnsi="宋体" w:eastAsia="仿宋_GB2312" w:cs="仿宋_GB2312"/>
          <w:color w:val="000000"/>
          <w:sz w:val="28"/>
          <w:szCs w:val="28"/>
          <w:lang w:eastAsia="zh-CN"/>
        </w:rPr>
        <w:t>已开立深市衍生品合约账户或有中国金融期货交易所交易编码的普通机构投资者，视同符合本条要求。</w:t>
      </w:r>
    </w:p>
    <w:p w14:paraId="27BAFE96">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4.相关业务人员具有</w:t>
      </w:r>
      <w:r>
        <w:rPr>
          <w:rFonts w:hint="eastAsia" w:ascii="仿宋_GB2312" w:hAnsi="宋体" w:eastAsia="仿宋_GB2312"/>
          <w:sz w:val="28"/>
          <w:szCs w:val="28"/>
        </w:rPr>
        <w:t>与三级</w:t>
      </w:r>
      <w:r>
        <w:rPr>
          <w:rFonts w:hint="eastAsia" w:ascii="仿宋_GB2312" w:hAnsi="宋体" w:eastAsia="仿宋_GB2312"/>
          <w:sz w:val="28"/>
          <w:szCs w:val="28"/>
          <w:lang w:eastAsia="zh-CN"/>
        </w:rPr>
        <w:t>股票</w:t>
      </w:r>
      <w:r>
        <w:rPr>
          <w:rFonts w:hint="eastAsia" w:ascii="仿宋_GB2312" w:hAnsi="宋体" w:eastAsia="仿宋_GB2312"/>
          <w:sz w:val="28"/>
          <w:szCs w:val="28"/>
        </w:rPr>
        <w:t>期权交易权限相对应的</w:t>
      </w:r>
      <w:r>
        <w:rPr>
          <w:rFonts w:hint="eastAsia" w:ascii="仿宋_GB2312" w:eastAsia="仿宋_GB2312"/>
          <w:color w:val="000000"/>
          <w:sz w:val="28"/>
          <w:szCs w:val="28"/>
        </w:rPr>
        <w:t>本所认可的</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期权模拟交易经历（通过该机构开设的</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期权模拟账户来完成）；</w:t>
      </w:r>
    </w:p>
    <w:p w14:paraId="656F4397">
      <w:pPr>
        <w:widowControl/>
        <w:ind w:firstLine="548" w:firstLineChars="196"/>
        <w:rPr>
          <w:rFonts w:hint="eastAsia" w:ascii="仿宋_GB2312" w:eastAsia="仿宋_GB2312"/>
          <w:color w:val="000000"/>
          <w:sz w:val="28"/>
          <w:szCs w:val="28"/>
        </w:rPr>
      </w:pPr>
      <w:r>
        <w:rPr>
          <w:rFonts w:hint="eastAsia" w:ascii="仿宋_GB2312" w:hAnsi="宋体" w:eastAsia="仿宋_GB2312" w:cs="仿宋_GB2312"/>
          <w:color w:val="000000"/>
          <w:sz w:val="28"/>
          <w:szCs w:val="28"/>
          <w:lang w:eastAsia="zh-CN"/>
        </w:rPr>
        <w:t>已开立深市衍生品合约账户的普通机构投资者，视同符合本条要求。</w:t>
      </w:r>
    </w:p>
    <w:p w14:paraId="1BA339EA">
      <w:pPr>
        <w:ind w:firstLine="560" w:firstLineChars="200"/>
        <w:rPr>
          <w:rFonts w:ascii="仿宋_GB2312" w:eastAsia="仿宋_GB2312"/>
          <w:color w:val="000000"/>
          <w:sz w:val="28"/>
          <w:szCs w:val="28"/>
        </w:rPr>
      </w:pPr>
      <w:r>
        <w:rPr>
          <w:rFonts w:hint="eastAsia" w:ascii="仿宋_GB2312" w:eastAsia="仿宋_GB2312"/>
          <w:color w:val="000000"/>
          <w:sz w:val="28"/>
          <w:szCs w:val="28"/>
        </w:rPr>
        <w:t>5.不存在严重不良诚信记录和法律、法规、规章和本所业务规则禁止或者限制从事</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期权交易的情形；</w:t>
      </w:r>
    </w:p>
    <w:p w14:paraId="66548231">
      <w:pPr>
        <w:ind w:firstLine="560" w:firstLineChars="200"/>
        <w:rPr>
          <w:rFonts w:ascii="仿宋_GB2312" w:eastAsia="仿宋_GB2312"/>
          <w:color w:val="000000"/>
          <w:sz w:val="28"/>
          <w:szCs w:val="28"/>
        </w:rPr>
      </w:pPr>
      <w:r>
        <w:rPr>
          <w:rFonts w:hint="eastAsia" w:ascii="仿宋_GB2312" w:eastAsia="仿宋_GB2312"/>
          <w:color w:val="000000"/>
          <w:sz w:val="28"/>
          <w:szCs w:val="28"/>
        </w:rPr>
        <w:t>6.本所规定的其他条件。</w:t>
      </w:r>
    </w:p>
    <w:p w14:paraId="27D22D27">
      <w:pPr>
        <w:ind w:firstLine="560" w:firstLineChars="200"/>
        <w:rPr>
          <w:rFonts w:ascii="Times New Roman" w:hAnsi="Times New Roman" w:eastAsia="楷体_GB2312"/>
          <w:b w:val="0"/>
          <w:color w:val="auto"/>
          <w:sz w:val="28"/>
          <w:szCs w:val="28"/>
        </w:rPr>
      </w:pPr>
      <w:bookmarkStart w:id="142" w:name="_Toc406438888"/>
      <w:bookmarkStart w:id="143" w:name="_Toc408300977"/>
      <w:r>
        <w:rPr>
          <w:rFonts w:hint="default" w:ascii="Times New Roman" w:hAnsi="Times New Roman" w:eastAsia="楷体_GB2312"/>
          <w:b w:val="0"/>
          <w:color w:val="auto"/>
          <w:sz w:val="28"/>
          <w:szCs w:val="28"/>
        </w:rPr>
        <w:t>（三）专业机构投资者</w:t>
      </w:r>
      <w:bookmarkEnd w:id="142"/>
      <w:bookmarkEnd w:id="143"/>
    </w:p>
    <w:p w14:paraId="11F6A0B1">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除法律</w:t>
      </w:r>
      <w:r>
        <w:rPr>
          <w:rFonts w:hint="eastAsia" w:ascii="仿宋_GB2312" w:hAnsi="宋体" w:eastAsia="仿宋_GB2312"/>
          <w:sz w:val="28"/>
          <w:szCs w:val="24"/>
        </w:rPr>
        <w:t>、法规、规章</w:t>
      </w:r>
      <w:r>
        <w:rPr>
          <w:rFonts w:hint="eastAsia" w:ascii="仿宋_GB2312" w:hAnsi="宋体" w:eastAsia="仿宋_GB2312"/>
          <w:color w:val="000000"/>
          <w:sz w:val="28"/>
          <w:szCs w:val="24"/>
        </w:rPr>
        <w:t>以及监管机构另有规定外，下列专业机构投资者参与</w:t>
      </w:r>
      <w:r>
        <w:rPr>
          <w:rFonts w:hint="eastAsia" w:ascii="仿宋_GB2312" w:hAnsi="宋体" w:eastAsia="仿宋_GB2312"/>
          <w:color w:val="000000"/>
          <w:sz w:val="28"/>
          <w:szCs w:val="24"/>
          <w:lang w:eastAsia="zh-CN"/>
        </w:rPr>
        <w:t>股票</w:t>
      </w:r>
      <w:r>
        <w:rPr>
          <w:rFonts w:hint="eastAsia" w:ascii="仿宋_GB2312" w:hAnsi="宋体" w:eastAsia="仿宋_GB2312"/>
          <w:color w:val="000000"/>
          <w:sz w:val="28"/>
          <w:szCs w:val="24"/>
        </w:rPr>
        <w:t>期权交易，不对其进行适当性管理综合评估：</w:t>
      </w:r>
    </w:p>
    <w:p w14:paraId="4668A7A2">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1.商业银行、期权经营机构、保险机构、信托公司、基金管理公司、财务公司、合格境外机构投资者等专业机构及其分支机构；</w:t>
      </w:r>
    </w:p>
    <w:p w14:paraId="552B1863">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2.证券投资基金、社保基金、养老基金、企业年金、信托计划、资产管理计划、银行及保险理</w:t>
      </w:r>
      <w:r>
        <w:rPr>
          <w:rFonts w:hint="eastAsia" w:ascii="仿宋_GB2312" w:hAnsi="宋体" w:eastAsia="仿宋_GB2312"/>
          <w:b w:val="0"/>
          <w:bCs w:val="0"/>
          <w:color w:val="000000"/>
          <w:sz w:val="28"/>
          <w:szCs w:val="24"/>
        </w:rPr>
        <w:t>财</w:t>
      </w:r>
      <w:r>
        <w:rPr>
          <w:rFonts w:hint="eastAsia" w:ascii="仿宋_GB2312" w:hAnsi="宋体" w:eastAsia="仿宋_GB2312"/>
          <w:color w:val="000000"/>
          <w:sz w:val="28"/>
          <w:szCs w:val="24"/>
        </w:rPr>
        <w:t>产品、在中国证券投资基金业协会备案的私募基金，以及由第</w:t>
      </w:r>
      <w:r>
        <w:rPr>
          <w:rFonts w:hint="eastAsia" w:ascii="仿宋_GB2312" w:hAnsi="宋体" w:eastAsia="仿宋_GB2312"/>
          <w:color w:val="000000"/>
          <w:sz w:val="28"/>
          <w:szCs w:val="24"/>
          <w:lang w:val="en-US" w:eastAsia="zh-CN"/>
        </w:rPr>
        <w:t>1</w:t>
      </w:r>
      <w:r>
        <w:rPr>
          <w:rFonts w:hint="eastAsia" w:ascii="仿宋_GB2312" w:hAnsi="宋体" w:eastAsia="仿宋_GB2312"/>
          <w:color w:val="000000"/>
          <w:sz w:val="28"/>
          <w:szCs w:val="24"/>
        </w:rPr>
        <w:t>项所列专业机构担任管理人的其他基金或者委托投资资产；</w:t>
      </w:r>
    </w:p>
    <w:p w14:paraId="3DE3CB85">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3.监管机构及本所规定的其他专业机构投资者。</w:t>
      </w:r>
    </w:p>
    <w:p w14:paraId="28348015">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股票期权上线初期，根据《上海证券交易所沪港通试点办法》，沪股通投资者暂时不能交易股票期权</w:t>
      </w:r>
      <w:r>
        <w:rPr>
          <w:rFonts w:hint="eastAsia" w:ascii="仿宋_GB2312" w:hAnsi="宋体" w:eastAsia="仿宋_GB2312"/>
          <w:color w:val="000000"/>
          <w:sz w:val="28"/>
          <w:szCs w:val="24"/>
          <w:highlight w:val="none"/>
        </w:rPr>
        <w:t>产品。</w:t>
      </w:r>
      <w:r>
        <w:rPr>
          <w:rFonts w:hint="default" w:ascii="Times New Roman" w:hAnsi="Times New Roman" w:eastAsia="仿宋_GB2312"/>
          <w:sz w:val="28"/>
          <w:szCs w:val="28"/>
          <w:highlight w:val="none"/>
        </w:rPr>
        <w:t>根据《关于合格境外机构投资者和人民币合格境外机构投资者参与股票期权交易有关事项的通知》，合格境外投资者可以参与本所</w:t>
      </w:r>
      <w:r>
        <w:rPr>
          <w:rFonts w:hint="default" w:ascii="Times New Roman" w:hAnsi="Times New Roman" w:eastAsia="仿宋_GB2312"/>
          <w:sz w:val="28"/>
          <w:szCs w:val="28"/>
        </w:rPr>
        <w:t>ETF期权交易，交易目的限于套期保值。</w:t>
      </w:r>
    </w:p>
    <w:p w14:paraId="511F505D">
      <w:pPr>
        <w:ind w:firstLine="560" w:firstLineChars="200"/>
        <w:jc w:val="both"/>
        <w:outlineLvl w:val="1"/>
        <w:rPr>
          <w:rFonts w:hint="eastAsia" w:ascii="Times New Roman" w:hAnsi="Times New Roman" w:eastAsia="黑体"/>
          <w:sz w:val="28"/>
          <w:szCs w:val="28"/>
        </w:rPr>
      </w:pPr>
      <w:bookmarkStart w:id="144" w:name="_Toc406438889"/>
      <w:bookmarkStart w:id="145" w:name="_Toc7476"/>
      <w:bookmarkStart w:id="146" w:name="_Toc24364"/>
      <w:bookmarkStart w:id="147" w:name="_Toc23946974"/>
      <w:bookmarkStart w:id="148" w:name="_Toc408300978"/>
      <w:bookmarkStart w:id="149" w:name="_Toc7028"/>
      <w:bookmarkStart w:id="150" w:name="_Toc408749913"/>
      <w:bookmarkStart w:id="151" w:name="_Toc21002"/>
      <w:r>
        <w:rPr>
          <w:rFonts w:hint="eastAsia" w:ascii="Times New Roman" w:hAnsi="Times New Roman" w:eastAsia="黑体"/>
          <w:sz w:val="28"/>
          <w:szCs w:val="28"/>
        </w:rPr>
        <w:t>二、综合评估</w:t>
      </w:r>
      <w:bookmarkEnd w:id="144"/>
      <w:bookmarkEnd w:id="145"/>
      <w:bookmarkEnd w:id="146"/>
      <w:bookmarkEnd w:id="147"/>
      <w:bookmarkEnd w:id="148"/>
      <w:bookmarkEnd w:id="149"/>
      <w:bookmarkEnd w:id="150"/>
      <w:bookmarkEnd w:id="151"/>
    </w:p>
    <w:p w14:paraId="0110B102">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期货公司应当制定</w:t>
      </w:r>
      <w:r>
        <w:rPr>
          <w:rFonts w:hint="eastAsia" w:ascii="仿宋_GB2312" w:hAnsi="宋体" w:eastAsia="仿宋_GB2312"/>
          <w:color w:val="000000"/>
          <w:sz w:val="28"/>
          <w:szCs w:val="24"/>
          <w:lang w:eastAsia="zh-CN"/>
        </w:rPr>
        <w:t>股票</w:t>
      </w:r>
      <w:r>
        <w:rPr>
          <w:rFonts w:hint="eastAsia" w:ascii="仿宋_GB2312" w:hAnsi="宋体" w:eastAsia="仿宋_GB2312"/>
          <w:color w:val="000000"/>
          <w:sz w:val="28"/>
          <w:szCs w:val="24"/>
        </w:rPr>
        <w:t>期权投资者适当性管理综合评估（以下简称“综合评估”）的实施办法，选择适当的投资者参与</w:t>
      </w:r>
      <w:r>
        <w:rPr>
          <w:rFonts w:hint="eastAsia" w:ascii="仿宋_GB2312" w:hAnsi="宋体" w:eastAsia="仿宋_GB2312"/>
          <w:color w:val="000000"/>
          <w:sz w:val="28"/>
          <w:szCs w:val="24"/>
          <w:lang w:eastAsia="zh-CN"/>
        </w:rPr>
        <w:t>股票</w:t>
      </w:r>
      <w:r>
        <w:rPr>
          <w:rFonts w:hint="eastAsia" w:ascii="仿宋_GB2312" w:hAnsi="宋体" w:eastAsia="仿宋_GB2312"/>
          <w:color w:val="000000"/>
          <w:sz w:val="28"/>
          <w:szCs w:val="24"/>
        </w:rPr>
        <w:t>期权交易。</w:t>
      </w:r>
    </w:p>
    <w:p w14:paraId="22C9352B">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期货公司应当对个人投资者的基本情况、风险承受能力、相关投资经历、金融类资产状况、</w:t>
      </w:r>
      <w:r>
        <w:rPr>
          <w:rFonts w:hint="eastAsia" w:ascii="仿宋_GB2312" w:hAnsi="宋体" w:eastAsia="仿宋_GB2312"/>
          <w:color w:val="000000"/>
          <w:sz w:val="28"/>
          <w:szCs w:val="24"/>
          <w:lang w:eastAsia="zh-CN"/>
        </w:rPr>
        <w:t>股票</w:t>
      </w:r>
      <w:r>
        <w:rPr>
          <w:rFonts w:hint="eastAsia" w:ascii="仿宋_GB2312" w:hAnsi="宋体" w:eastAsia="仿宋_GB2312"/>
          <w:color w:val="000000"/>
          <w:sz w:val="28"/>
          <w:szCs w:val="24"/>
        </w:rPr>
        <w:t>期权知识水平等方面进行综合评估。期货公司应根据投资者适当性管理的相关规定，编制《股票期权投资者适当性综合评估表》（参考样表见附件</w:t>
      </w:r>
      <w:r>
        <w:rPr>
          <w:rFonts w:hint="eastAsia" w:ascii="仿宋_GB2312" w:hAnsi="宋体" w:eastAsia="仿宋_GB2312"/>
          <w:color w:val="000000"/>
          <w:sz w:val="28"/>
          <w:szCs w:val="24"/>
          <w:lang w:val="en-US" w:eastAsia="zh-CN"/>
        </w:rPr>
        <w:t>三</w:t>
      </w:r>
      <w:r>
        <w:rPr>
          <w:rFonts w:hint="eastAsia" w:ascii="仿宋_GB2312" w:hAnsi="宋体" w:eastAsia="仿宋_GB2312"/>
          <w:color w:val="000000"/>
          <w:sz w:val="28"/>
          <w:szCs w:val="24"/>
        </w:rPr>
        <w:t>）。该表只需经办人及期货公司营业部负责人或其授权人签字确认即可。在审批流程中期货公司可以使用电子签章；有完备电子流程的，上述人员无需在纸面文件上签名。综合评估分数低于期货公司设定分值的，期货公司不得为其办理开户。期货公司应当向客户明确告知综合评估结果，提示其审慎参与</w:t>
      </w:r>
      <w:r>
        <w:rPr>
          <w:rFonts w:hint="eastAsia" w:ascii="仿宋_GB2312" w:hAnsi="宋体" w:eastAsia="仿宋_GB2312"/>
          <w:color w:val="000000"/>
          <w:sz w:val="28"/>
          <w:szCs w:val="24"/>
          <w:lang w:eastAsia="zh-CN"/>
        </w:rPr>
        <w:t>股票</w:t>
      </w:r>
      <w:r>
        <w:rPr>
          <w:rFonts w:hint="eastAsia" w:ascii="仿宋_GB2312" w:hAnsi="宋体" w:eastAsia="仿宋_GB2312"/>
          <w:color w:val="000000"/>
          <w:sz w:val="28"/>
          <w:szCs w:val="24"/>
        </w:rPr>
        <w:t>期权交易，并对所做提示记录留存。</w:t>
      </w:r>
    </w:p>
    <w:p w14:paraId="401DE9F1">
      <w:pPr>
        <w:ind w:firstLine="560" w:firstLineChars="200"/>
        <w:rPr>
          <w:rFonts w:hint="eastAsia" w:ascii="仿宋_GB2312" w:hAnsi="宋体" w:eastAsia="仿宋_GB2312"/>
          <w:color w:val="000000"/>
          <w:sz w:val="28"/>
          <w:szCs w:val="24"/>
        </w:rPr>
      </w:pPr>
      <w:r>
        <w:rPr>
          <w:rFonts w:hint="eastAsia" w:ascii="仿宋_GB2312" w:hAnsi="宋体" w:eastAsia="仿宋_GB2312"/>
          <w:color w:val="000000"/>
          <w:sz w:val="28"/>
          <w:szCs w:val="24"/>
        </w:rPr>
        <w:t>期货公司应当要求投资者进行现场开户，试点期间不得采取其他开户方式。</w:t>
      </w:r>
    </w:p>
    <w:p w14:paraId="3A49CE16">
      <w:pPr>
        <w:ind w:firstLine="560" w:firstLineChars="200"/>
        <w:rPr>
          <w:rFonts w:hint="eastAsia" w:ascii="仿宋_GB2312" w:hAnsi="宋体" w:eastAsia="仿宋_GB2312"/>
          <w:color w:val="000000"/>
          <w:sz w:val="28"/>
          <w:szCs w:val="24"/>
        </w:rPr>
      </w:pPr>
      <w:r>
        <w:rPr>
          <w:rFonts w:hint="eastAsia" w:ascii="仿宋_GB2312" w:hAnsi="宋体" w:eastAsia="仿宋_GB2312"/>
          <w:color w:val="000000"/>
          <w:sz w:val="28"/>
          <w:szCs w:val="24"/>
        </w:rPr>
        <w:t>对已开立</w:t>
      </w:r>
      <w:r>
        <w:rPr>
          <w:rFonts w:hint="eastAsia" w:ascii="仿宋_GB2312" w:hAnsi="宋体" w:eastAsia="仿宋_GB2312"/>
          <w:color w:val="000000"/>
          <w:sz w:val="28"/>
          <w:szCs w:val="24"/>
          <w:lang w:eastAsia="zh-CN"/>
        </w:rPr>
        <w:t>深</w:t>
      </w:r>
      <w:r>
        <w:rPr>
          <w:rFonts w:hint="eastAsia" w:ascii="仿宋_GB2312" w:hAnsi="宋体" w:eastAsia="仿宋_GB2312"/>
          <w:color w:val="000000"/>
          <w:sz w:val="28"/>
          <w:szCs w:val="24"/>
        </w:rPr>
        <w:t>市衍生品合约账户，且不存在严重不良诚信记录，不存在法律、法规、规章和本所业务规则禁止或者限制从事股票期权交易的情形要求的投资者，视同通过适当性综合评估，期货公司无需再为其制作《股票期权投资者适当性综合评估表》。</w:t>
      </w:r>
    </w:p>
    <w:p w14:paraId="3D1E24E2">
      <w:pPr>
        <w:ind w:firstLine="560" w:firstLineChars="200"/>
        <w:jc w:val="both"/>
        <w:outlineLvl w:val="1"/>
        <w:rPr>
          <w:rFonts w:hint="eastAsia" w:ascii="Times New Roman" w:hAnsi="Times New Roman" w:eastAsia="黑体"/>
          <w:sz w:val="28"/>
          <w:szCs w:val="28"/>
        </w:rPr>
      </w:pPr>
      <w:bookmarkStart w:id="152" w:name="_Toc408300979"/>
      <w:bookmarkStart w:id="153" w:name="_Toc9933"/>
      <w:bookmarkStart w:id="154" w:name="_Toc15731"/>
      <w:bookmarkStart w:id="155" w:name="_Toc29239"/>
      <w:bookmarkStart w:id="156" w:name="_Toc408749914"/>
      <w:bookmarkStart w:id="157" w:name="_Toc11135"/>
      <w:bookmarkStart w:id="158" w:name="_Toc406438890"/>
      <w:bookmarkStart w:id="159" w:name="_Toc23946975"/>
      <w:r>
        <w:rPr>
          <w:rFonts w:hint="eastAsia" w:ascii="Times New Roman" w:hAnsi="Times New Roman" w:eastAsia="黑体"/>
          <w:sz w:val="28"/>
          <w:szCs w:val="28"/>
        </w:rPr>
        <w:t>三、</w:t>
      </w:r>
      <w:r>
        <w:rPr>
          <w:rFonts w:hint="eastAsia" w:ascii="Times New Roman" w:hAnsi="Times New Roman" w:eastAsia="黑体"/>
          <w:sz w:val="28"/>
          <w:szCs w:val="28"/>
          <w:lang w:eastAsia="zh-CN"/>
        </w:rPr>
        <w:t>股票</w:t>
      </w:r>
      <w:r>
        <w:rPr>
          <w:rFonts w:hint="eastAsia" w:ascii="Times New Roman" w:hAnsi="Times New Roman" w:eastAsia="黑体"/>
          <w:sz w:val="28"/>
          <w:szCs w:val="28"/>
        </w:rPr>
        <w:t>期权投资者知识测试</w:t>
      </w:r>
      <w:bookmarkEnd w:id="152"/>
      <w:bookmarkEnd w:id="153"/>
      <w:bookmarkEnd w:id="154"/>
      <w:bookmarkEnd w:id="155"/>
      <w:bookmarkEnd w:id="156"/>
      <w:bookmarkEnd w:id="157"/>
      <w:bookmarkEnd w:id="158"/>
      <w:bookmarkEnd w:id="159"/>
    </w:p>
    <w:p w14:paraId="66134507">
      <w:pPr>
        <w:rPr>
          <w:rFonts w:ascii="Times New Roman" w:hAnsi="Times New Roman" w:eastAsia="楷体_GB2312"/>
          <w:color w:val="auto"/>
          <w:sz w:val="28"/>
          <w:szCs w:val="28"/>
        </w:rPr>
      </w:pPr>
      <w:r>
        <w:rPr>
          <w:rFonts w:hint="eastAsia" w:ascii="仿宋_GB2312" w:eastAsia="仿宋_GB2312"/>
          <w:color w:val="000000"/>
          <w:sz w:val="28"/>
          <w:szCs w:val="28"/>
        </w:rPr>
        <w:t xml:space="preserve">   </w:t>
      </w:r>
      <w:r>
        <w:rPr>
          <w:rFonts w:hint="default" w:ascii="Times New Roman" w:hAnsi="Times New Roman" w:eastAsia="楷体_GB2312"/>
          <w:b w:val="0"/>
          <w:bCs w:val="0"/>
          <w:color w:val="auto"/>
          <w:sz w:val="28"/>
          <w:szCs w:val="28"/>
        </w:rPr>
        <w:t>（一）考试要求</w:t>
      </w:r>
    </w:p>
    <w:p w14:paraId="0A22DAB3">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期货公司可根据本公司实际情况及业务规划，在部分或全部分支机构开设</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期权知识测试考场。拟开设考场的分支机构应当按要求设置</w:t>
      </w:r>
      <w:r>
        <w:rPr>
          <w:rFonts w:ascii="仿宋_GB2312" w:eastAsia="仿宋_GB2312"/>
          <w:color w:val="000000"/>
          <w:sz w:val="28"/>
          <w:szCs w:val="28"/>
        </w:rPr>
        <w:t xml:space="preserve"> </w:t>
      </w:r>
      <w:r>
        <w:rPr>
          <w:rFonts w:hint="eastAsia" w:ascii="仿宋_GB2312" w:eastAsia="仿宋_GB2312"/>
          <w:color w:val="000000"/>
          <w:sz w:val="28"/>
          <w:szCs w:val="28"/>
        </w:rPr>
        <w:t>“专区、专人、专机”。公司总部对分支机构准备情况验收合格后，方可通过该分支机构组织投资者</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期权知识测试。</w:t>
      </w:r>
    </w:p>
    <w:p w14:paraId="06F13A69">
      <w:pPr>
        <w:ind w:firstLine="560" w:firstLineChars="200"/>
        <w:rPr>
          <w:rFonts w:ascii="仿宋_GB2312" w:eastAsia="仿宋_GB2312"/>
          <w:color w:val="000000"/>
          <w:sz w:val="28"/>
          <w:szCs w:val="28"/>
        </w:rPr>
      </w:pPr>
      <w:r>
        <w:rPr>
          <w:rFonts w:hint="eastAsia" w:ascii="仿宋_GB2312" w:eastAsia="仿宋_GB2312"/>
          <w:color w:val="000000"/>
          <w:sz w:val="28"/>
          <w:szCs w:val="28"/>
        </w:rPr>
        <w:t>“专区”：在营业部设置相对独立的专门区域用于投资者测试，场地大小可视营业场所实际情况确定。专区内应张贴考试过程及纪律要求。“专人”：应配备专门的</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期权工作人员或客服人员组织测试。上述人员应具备一定的</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期权知识水平，同时熟悉测试组织要求和流程。客户开发人员不得兼任测试组织人员。“专机”：应配备专门电脑，其配置应保证投资者顺畅完成在线测试。</w:t>
      </w:r>
    </w:p>
    <w:p w14:paraId="4C955704">
      <w:pPr>
        <w:ind w:firstLine="560" w:firstLineChars="200"/>
        <w:rPr>
          <w:rFonts w:ascii="Times New Roman" w:hAnsi="Times New Roman" w:eastAsia="楷体_GB2312"/>
          <w:color w:val="auto"/>
          <w:sz w:val="28"/>
          <w:szCs w:val="28"/>
        </w:rPr>
      </w:pPr>
      <w:r>
        <w:rPr>
          <w:rFonts w:hint="default" w:ascii="Times New Roman" w:hAnsi="Times New Roman" w:eastAsia="楷体_GB2312"/>
          <w:b w:val="0"/>
          <w:bCs w:val="0"/>
          <w:color w:val="auto"/>
          <w:sz w:val="28"/>
          <w:szCs w:val="28"/>
        </w:rPr>
        <w:t>（二）考试纪律</w:t>
      </w:r>
    </w:p>
    <w:p w14:paraId="26BAA374">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应当负责核对投资者身份证明文件，确认投资者本人独立、自主完成考试。投资者在规定的考试时间内不得查阅任何参考资料（包括但不限于印刷资料、手机、电脑等渠道），不得向营业部监考工作人员询问与考试内容有关的信息。一旦发现作弊、替考等现象，本所将认定考试成绩无效并采取相关自律监管措施。</w:t>
      </w:r>
    </w:p>
    <w:p w14:paraId="2FE18488">
      <w:pPr>
        <w:ind w:firstLine="560" w:firstLineChars="200"/>
        <w:rPr>
          <w:rFonts w:ascii="Times New Roman" w:hAnsi="Times New Roman" w:eastAsia="楷体_GB2312"/>
          <w:b w:val="0"/>
          <w:bCs w:val="0"/>
          <w:color w:val="auto"/>
          <w:sz w:val="28"/>
          <w:szCs w:val="28"/>
        </w:rPr>
      </w:pPr>
      <w:r>
        <w:rPr>
          <w:rFonts w:hint="default" w:ascii="Times New Roman" w:hAnsi="Times New Roman" w:eastAsia="楷体_GB2312"/>
          <w:b w:val="0"/>
          <w:bCs w:val="0"/>
          <w:color w:val="auto"/>
          <w:sz w:val="28"/>
          <w:szCs w:val="28"/>
        </w:rPr>
        <w:t>（三）考试录像</w:t>
      </w:r>
    </w:p>
    <w:p w14:paraId="4B8BABF7">
      <w:pPr>
        <w:ind w:firstLine="560" w:firstLineChars="200"/>
        <w:rPr>
          <w:rFonts w:ascii="仿宋_GB2312" w:eastAsia="仿宋_GB2312"/>
          <w:color w:val="000000"/>
          <w:sz w:val="28"/>
          <w:szCs w:val="28"/>
        </w:rPr>
      </w:pPr>
      <w:r>
        <w:rPr>
          <w:rFonts w:hint="eastAsia" w:ascii="仿宋_GB2312" w:eastAsia="仿宋_GB2312"/>
          <w:color w:val="000000"/>
          <w:sz w:val="28"/>
          <w:szCs w:val="28"/>
        </w:rPr>
        <w:t>本所对</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投资者知识测试期间的录像不做强制要求，但通过考试的投资者须朗读或抄写以下内容：“本人承诺，期权知识测试由本人独立、自主完成，本人对考试成绩负责”。期货公司须对此进行录像或拍照存档。参加交易所集中组织的</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期权培训并现场进行知识测试的投资者，可以免去此朗读抄写环节。</w:t>
      </w:r>
    </w:p>
    <w:p w14:paraId="1326DEF1">
      <w:pPr>
        <w:ind w:firstLine="560" w:firstLineChars="200"/>
        <w:rPr>
          <w:rFonts w:ascii="Times New Roman" w:hAnsi="Times New Roman" w:eastAsia="楷体_GB2312"/>
          <w:color w:val="auto"/>
          <w:sz w:val="28"/>
          <w:szCs w:val="28"/>
        </w:rPr>
      </w:pPr>
      <w:r>
        <w:rPr>
          <w:rFonts w:hint="default" w:ascii="Times New Roman" w:hAnsi="Times New Roman" w:eastAsia="楷体_GB2312"/>
          <w:b w:val="0"/>
          <w:bCs w:val="0"/>
          <w:color w:val="auto"/>
          <w:sz w:val="28"/>
          <w:szCs w:val="28"/>
        </w:rPr>
        <w:t>（四）考试形式</w:t>
      </w:r>
    </w:p>
    <w:p w14:paraId="6AD312E1">
      <w:pPr>
        <w:ind w:firstLine="560" w:firstLineChars="200"/>
        <w:rPr>
          <w:rFonts w:ascii="仿宋_GB2312" w:eastAsia="仿宋_GB2312"/>
          <w:color w:val="000000"/>
          <w:sz w:val="28"/>
          <w:szCs w:val="28"/>
        </w:rPr>
      </w:pPr>
      <w:r>
        <w:rPr>
          <w:rFonts w:hint="eastAsia" w:ascii="仿宋_GB2312" w:eastAsia="仿宋_GB2312"/>
          <w:color w:val="000000"/>
          <w:sz w:val="28"/>
          <w:szCs w:val="28"/>
        </w:rPr>
        <w:t>个人</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期权投资者知识测试形式分为逐级考试和综合卷考试。</w:t>
      </w:r>
    </w:p>
    <w:p w14:paraId="5F685E74">
      <w:pPr>
        <w:ind w:firstLine="560" w:firstLineChars="200"/>
        <w:rPr>
          <w:rFonts w:ascii="仿宋_GB2312" w:eastAsia="仿宋_GB2312"/>
          <w:color w:val="000000"/>
          <w:sz w:val="28"/>
          <w:szCs w:val="28"/>
        </w:rPr>
      </w:pPr>
      <w:r>
        <w:rPr>
          <w:rFonts w:hint="eastAsia" w:ascii="仿宋_GB2312" w:eastAsia="仿宋_GB2312"/>
          <w:color w:val="000000"/>
          <w:sz w:val="28"/>
          <w:szCs w:val="28"/>
        </w:rPr>
        <w:t>对于选择逐级考试的个人投资者，参加并通过一级考试后，才能参加二级考试；参加并通过一级、二级考试后，才能参加三级考试。对于每个级别的考试，投资者均可多次参加，直至成绩合格。</w:t>
      </w:r>
    </w:p>
    <w:p w14:paraId="3C4EB617">
      <w:pPr>
        <w:ind w:firstLine="560" w:firstLineChars="200"/>
        <w:rPr>
          <w:rFonts w:ascii="仿宋_GB2312" w:eastAsia="仿宋_GB2312"/>
          <w:color w:val="000000"/>
          <w:sz w:val="28"/>
          <w:szCs w:val="28"/>
        </w:rPr>
      </w:pPr>
      <w:r>
        <w:rPr>
          <w:rFonts w:hint="eastAsia" w:ascii="仿宋_GB2312" w:eastAsia="仿宋_GB2312"/>
          <w:color w:val="000000"/>
          <w:sz w:val="28"/>
          <w:szCs w:val="28"/>
        </w:rPr>
        <w:t>对于选择综合卷考试的个人投资者，也可多次参加，成绩合格者直接成为三级投资者。</w:t>
      </w:r>
    </w:p>
    <w:p w14:paraId="49DBCCF1">
      <w:pPr>
        <w:ind w:firstLine="560" w:firstLineChars="200"/>
        <w:rPr>
          <w:rFonts w:ascii="仿宋_GB2312" w:eastAsia="仿宋_GB2312"/>
          <w:sz w:val="28"/>
          <w:szCs w:val="28"/>
        </w:rPr>
      </w:pPr>
      <w:r>
        <w:rPr>
          <w:rFonts w:hint="eastAsia" w:ascii="仿宋_GB2312" w:eastAsia="仿宋_GB2312"/>
          <w:sz w:val="28"/>
          <w:szCs w:val="28"/>
        </w:rPr>
        <w:t>普通机构投资者相关业务人员须参加机构投资者</w:t>
      </w:r>
      <w:r>
        <w:rPr>
          <w:rFonts w:hint="eastAsia" w:ascii="仿宋_GB2312" w:eastAsia="仿宋_GB2312"/>
          <w:sz w:val="28"/>
          <w:szCs w:val="28"/>
          <w:lang w:eastAsia="zh-CN"/>
        </w:rPr>
        <w:t>股票</w:t>
      </w:r>
      <w:r>
        <w:rPr>
          <w:rFonts w:hint="eastAsia" w:ascii="仿宋_GB2312" w:eastAsia="仿宋_GB2312"/>
          <w:sz w:val="28"/>
          <w:szCs w:val="28"/>
        </w:rPr>
        <w:t>期权知识测试。</w:t>
      </w:r>
    </w:p>
    <w:p w14:paraId="5BD2A65E">
      <w:pPr>
        <w:ind w:firstLine="560" w:firstLineChars="200"/>
        <w:rPr>
          <w:rFonts w:ascii="Times New Roman" w:hAnsi="Times New Roman" w:eastAsia="楷体_GB2312"/>
          <w:b w:val="0"/>
          <w:bCs w:val="0"/>
          <w:color w:val="auto"/>
          <w:sz w:val="28"/>
          <w:szCs w:val="28"/>
        </w:rPr>
      </w:pPr>
      <w:r>
        <w:rPr>
          <w:rFonts w:hint="default" w:ascii="Times New Roman" w:hAnsi="Times New Roman" w:eastAsia="楷体_GB2312"/>
          <w:b w:val="0"/>
          <w:bCs w:val="0"/>
          <w:color w:val="auto"/>
          <w:sz w:val="28"/>
          <w:szCs w:val="28"/>
        </w:rPr>
        <w:t>（五）考试题目范围与数量</w:t>
      </w:r>
    </w:p>
    <w:p w14:paraId="073DCEB3">
      <w:pPr>
        <w:ind w:firstLine="560" w:firstLineChars="200"/>
        <w:rPr>
          <w:rFonts w:ascii="仿宋_GB2312" w:eastAsia="仿宋_GB2312"/>
          <w:color w:val="000000"/>
          <w:sz w:val="28"/>
          <w:szCs w:val="28"/>
        </w:rPr>
      </w:pPr>
      <w:r>
        <w:rPr>
          <w:rFonts w:hint="eastAsia" w:ascii="仿宋_GB2312" w:eastAsia="仿宋_GB2312"/>
          <w:color w:val="000000"/>
          <w:sz w:val="28"/>
          <w:szCs w:val="28"/>
        </w:rPr>
        <w:t>个人</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 xml:space="preserve">期权投资者知识测试范围为《上海证券交易所期权投资者知识测试辅导读本》第一章、第二章、第三章、第四章。 一级考试：共20题，每题5分，覆盖第一章与第二章，其中第一章共12题，第二章共8题；二级考试，共10题，每题10分，覆盖第三章；三级考试，共10题，每题10分，覆盖第四章； 综合卷考试分为三个部分，共20题，每题5分。第一部分为第一章与第二章，共10题，其中第一章共6题、第二章共4题；第二部分为第三章，共5题；第三部分为第四章，共5题。 </w:t>
      </w:r>
    </w:p>
    <w:p w14:paraId="334CDB70">
      <w:pPr>
        <w:ind w:firstLine="560" w:firstLineChars="200"/>
        <w:rPr>
          <w:rFonts w:ascii="仿宋_GB2312" w:eastAsia="仿宋_GB2312"/>
          <w:color w:val="000000"/>
          <w:sz w:val="28"/>
          <w:szCs w:val="28"/>
        </w:rPr>
      </w:pPr>
      <w:r>
        <w:rPr>
          <w:rFonts w:hint="eastAsia" w:ascii="仿宋_GB2312" w:eastAsia="仿宋_GB2312"/>
          <w:color w:val="000000"/>
          <w:sz w:val="28"/>
          <w:szCs w:val="28"/>
        </w:rPr>
        <w:t>普通机构投资者相关业务人员测试范围为第一章至第五章内容。</w:t>
      </w:r>
    </w:p>
    <w:p w14:paraId="59B2FCFF">
      <w:pPr>
        <w:ind w:firstLine="560" w:firstLineChars="200"/>
        <w:rPr>
          <w:rFonts w:ascii="Times New Roman" w:hAnsi="Times New Roman" w:eastAsia="楷体_GB2312"/>
          <w:b w:val="0"/>
          <w:bCs w:val="0"/>
          <w:color w:val="auto"/>
          <w:sz w:val="28"/>
          <w:szCs w:val="28"/>
        </w:rPr>
      </w:pPr>
      <w:r>
        <w:rPr>
          <w:rFonts w:hint="default" w:ascii="Times New Roman" w:hAnsi="Times New Roman" w:eastAsia="楷体_GB2312"/>
          <w:b w:val="0"/>
          <w:bCs w:val="0"/>
          <w:color w:val="auto"/>
          <w:sz w:val="28"/>
          <w:szCs w:val="28"/>
        </w:rPr>
        <w:t>（六）通过标准与考试时长</w:t>
      </w:r>
    </w:p>
    <w:p w14:paraId="6C4C46B0">
      <w:pPr>
        <w:ind w:firstLine="560" w:firstLineChars="200"/>
        <w:rPr>
          <w:rFonts w:ascii="仿宋_GB2312" w:eastAsia="仿宋_GB2312"/>
          <w:color w:val="000000"/>
          <w:sz w:val="28"/>
          <w:szCs w:val="28"/>
        </w:rPr>
      </w:pPr>
      <w:r>
        <w:rPr>
          <w:rFonts w:hint="eastAsia" w:ascii="仿宋_GB2312" w:eastAsia="仿宋_GB2312"/>
          <w:color w:val="000000"/>
          <w:sz w:val="28"/>
          <w:szCs w:val="28"/>
        </w:rPr>
        <w:t>逐级考试中各级考试总分100分，时间为20分钟，70分为合格。综合卷考试总分100分，时间为30分钟，总分不低于70分，且各部分正确率不低于60%为合格（即第一部分答对不少于6题，第二部分答对不少于3题，第三部分答对不少于3题）。</w:t>
      </w:r>
    </w:p>
    <w:p w14:paraId="1A2B7AE9">
      <w:pPr>
        <w:ind w:firstLine="560" w:firstLineChars="200"/>
        <w:rPr>
          <w:rFonts w:ascii="仿宋_GB2312" w:eastAsia="仿宋_GB2312"/>
          <w:color w:val="000000"/>
          <w:sz w:val="28"/>
          <w:szCs w:val="28"/>
        </w:rPr>
      </w:pPr>
      <w:r>
        <w:rPr>
          <w:rFonts w:hint="eastAsia" w:ascii="仿宋_GB2312" w:eastAsia="仿宋_GB2312"/>
          <w:color w:val="000000"/>
          <w:sz w:val="28"/>
          <w:szCs w:val="28"/>
        </w:rPr>
        <w:t>普通机构投资者相关业务人员</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期货期权知识测试总分100分，时间为90分钟，80分为及格。</w:t>
      </w:r>
    </w:p>
    <w:p w14:paraId="5B5B2C16">
      <w:pPr>
        <w:ind w:firstLine="560" w:firstLineChars="200"/>
        <w:outlineLvl w:val="1"/>
        <w:rPr>
          <w:rFonts w:hint="eastAsia" w:ascii="Times New Roman" w:hAnsi="Times New Roman" w:eastAsia="黑体"/>
          <w:sz w:val="28"/>
          <w:szCs w:val="28"/>
        </w:rPr>
      </w:pPr>
      <w:bookmarkStart w:id="160" w:name="_Toc23946976"/>
      <w:bookmarkStart w:id="161" w:name="_Toc4281"/>
      <w:bookmarkStart w:id="162" w:name="_Toc406438891"/>
      <w:bookmarkStart w:id="163" w:name="_Toc16087"/>
      <w:bookmarkStart w:id="164" w:name="_Toc25657"/>
      <w:bookmarkStart w:id="165" w:name="_Toc408749915"/>
      <w:bookmarkStart w:id="166" w:name="_Toc7559"/>
      <w:bookmarkStart w:id="167" w:name="_Toc408300980"/>
      <w:r>
        <w:rPr>
          <w:rFonts w:hint="eastAsia" w:ascii="Times New Roman" w:hAnsi="Times New Roman" w:eastAsia="黑体"/>
          <w:sz w:val="28"/>
          <w:szCs w:val="28"/>
        </w:rPr>
        <w:t>四、投资者分级管理</w:t>
      </w:r>
      <w:bookmarkEnd w:id="160"/>
      <w:bookmarkEnd w:id="161"/>
      <w:bookmarkEnd w:id="162"/>
      <w:bookmarkEnd w:id="163"/>
      <w:bookmarkEnd w:id="164"/>
      <w:bookmarkEnd w:id="165"/>
      <w:bookmarkEnd w:id="166"/>
      <w:bookmarkEnd w:id="167"/>
    </w:p>
    <w:p w14:paraId="1521EBB1">
      <w:pPr>
        <w:ind w:firstLine="560" w:firstLineChars="200"/>
        <w:rPr>
          <w:rFonts w:ascii="Times New Roman" w:hAnsi="Times New Roman" w:eastAsia="楷体_GB2312"/>
          <w:b w:val="0"/>
          <w:color w:val="auto"/>
          <w:sz w:val="28"/>
          <w:szCs w:val="28"/>
        </w:rPr>
      </w:pPr>
      <w:bookmarkStart w:id="168" w:name="_Toc406438892"/>
      <w:bookmarkStart w:id="169" w:name="_Toc408300981"/>
      <w:r>
        <w:rPr>
          <w:rFonts w:hint="default" w:ascii="Times New Roman" w:hAnsi="Times New Roman" w:eastAsia="楷体_GB2312"/>
          <w:b w:val="0"/>
          <w:color w:val="auto"/>
          <w:sz w:val="28"/>
          <w:szCs w:val="28"/>
        </w:rPr>
        <w:t>（一）交易权限</w:t>
      </w:r>
      <w:bookmarkEnd w:id="168"/>
      <w:bookmarkEnd w:id="169"/>
    </w:p>
    <w:p w14:paraId="681AA245">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个人投资者、普通机构投资者、专业机构投资者的交易权限参见《上海证券交易所股票期权试点投资者适当性管理指引》。</w:t>
      </w:r>
    </w:p>
    <w:p w14:paraId="5CDC8EB6">
      <w:pPr>
        <w:ind w:firstLine="560" w:firstLineChars="200"/>
        <w:rPr>
          <w:rFonts w:ascii="Times New Roman" w:hAnsi="Times New Roman" w:eastAsia="楷体_GB2312"/>
          <w:b w:val="0"/>
          <w:color w:val="auto"/>
          <w:sz w:val="28"/>
          <w:szCs w:val="28"/>
        </w:rPr>
      </w:pPr>
      <w:bookmarkStart w:id="170" w:name="_Toc406438893"/>
      <w:bookmarkStart w:id="171" w:name="_Toc408300982"/>
      <w:r>
        <w:rPr>
          <w:rFonts w:hint="default" w:ascii="Times New Roman" w:hAnsi="Times New Roman" w:eastAsia="楷体_GB2312"/>
          <w:b w:val="0"/>
          <w:color w:val="auto"/>
          <w:sz w:val="28"/>
          <w:szCs w:val="28"/>
        </w:rPr>
        <w:t>（二）交易权限的申请条件</w:t>
      </w:r>
      <w:bookmarkEnd w:id="170"/>
      <w:bookmarkEnd w:id="171"/>
    </w:p>
    <w:p w14:paraId="2FD62219">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期货公司为投资者设置的交易权限不能超出为其评定的交易级别。期货公司应根据投资者交易权限的分级结果，对投资者的</w:t>
      </w:r>
      <w:r>
        <w:rPr>
          <w:rFonts w:hint="eastAsia" w:ascii="仿宋_GB2312" w:hAnsi="宋体" w:eastAsia="仿宋_GB2312"/>
          <w:color w:val="000000"/>
          <w:sz w:val="28"/>
          <w:szCs w:val="24"/>
          <w:lang w:eastAsia="zh-CN"/>
        </w:rPr>
        <w:t>股票</w:t>
      </w:r>
      <w:r>
        <w:rPr>
          <w:rFonts w:hint="eastAsia" w:ascii="仿宋_GB2312" w:hAnsi="宋体" w:eastAsia="仿宋_GB2312"/>
          <w:color w:val="000000"/>
          <w:sz w:val="28"/>
          <w:szCs w:val="24"/>
        </w:rPr>
        <w:t>期权交易委托指令进行前端控制，对不符合交易权限的交易委托予以拒绝和制止。</w:t>
      </w:r>
    </w:p>
    <w:p w14:paraId="4FFD79C4">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个人投资者申请各级别交易权限，除了通过适当性管理综合评估，还应满足以下要求：</w:t>
      </w:r>
    </w:p>
    <w:p w14:paraId="14C0C599">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lang w:val="en-US" w:eastAsia="zh-CN"/>
        </w:rPr>
        <w:t>1.</w:t>
      </w:r>
      <w:r>
        <w:rPr>
          <w:rFonts w:hint="eastAsia" w:ascii="仿宋_GB2312" w:hAnsi="宋体" w:eastAsia="仿宋_GB2312"/>
          <w:color w:val="000000"/>
          <w:sz w:val="28"/>
          <w:szCs w:val="24"/>
        </w:rPr>
        <w:t>个人投资者申请各级别交易权限，应当在对应级别的知识测试中达到本所规定的合格分数。</w:t>
      </w:r>
    </w:p>
    <w:p w14:paraId="0846D219">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lang w:val="en-US" w:eastAsia="zh-CN"/>
        </w:rPr>
        <w:t>2.</w:t>
      </w:r>
      <w:r>
        <w:rPr>
          <w:rFonts w:hint="eastAsia" w:ascii="仿宋_GB2312" w:hAnsi="宋体" w:eastAsia="仿宋_GB2312"/>
          <w:color w:val="000000"/>
          <w:sz w:val="28"/>
          <w:szCs w:val="24"/>
        </w:rPr>
        <w:t>个人投资者申请一级、二级或三级交易权限的，应具备交易权限相应的期权模拟交易经历。</w:t>
      </w:r>
    </w:p>
    <w:p w14:paraId="5F8FA94C">
      <w:pPr>
        <w:ind w:firstLine="560" w:firstLineChars="200"/>
        <w:outlineLvl w:val="1"/>
        <w:rPr>
          <w:rFonts w:hint="eastAsia" w:ascii="Times New Roman" w:hAnsi="Times New Roman" w:eastAsia="黑体"/>
          <w:sz w:val="28"/>
          <w:szCs w:val="28"/>
        </w:rPr>
      </w:pPr>
      <w:bookmarkStart w:id="172" w:name="_Toc406438894"/>
      <w:bookmarkStart w:id="173" w:name="_Toc23946977"/>
      <w:bookmarkStart w:id="174" w:name="_Toc408749916"/>
      <w:bookmarkStart w:id="175" w:name="_Toc408300983"/>
      <w:bookmarkStart w:id="176" w:name="_Toc29529"/>
      <w:bookmarkStart w:id="177" w:name="_Toc2818"/>
      <w:bookmarkStart w:id="178" w:name="_Toc24507"/>
      <w:bookmarkStart w:id="179" w:name="_Toc32766"/>
      <w:r>
        <w:rPr>
          <w:rFonts w:hint="eastAsia" w:ascii="Times New Roman" w:hAnsi="Times New Roman" w:eastAsia="黑体"/>
          <w:sz w:val="28"/>
          <w:szCs w:val="28"/>
        </w:rPr>
        <w:t>五、投资者适当性评估的动态持续管理</w:t>
      </w:r>
      <w:bookmarkEnd w:id="172"/>
      <w:bookmarkEnd w:id="173"/>
      <w:bookmarkEnd w:id="174"/>
      <w:bookmarkEnd w:id="175"/>
      <w:bookmarkEnd w:id="176"/>
      <w:bookmarkEnd w:id="177"/>
      <w:bookmarkEnd w:id="178"/>
      <w:bookmarkEnd w:id="179"/>
    </w:p>
    <w:p w14:paraId="1FE39C71">
      <w:pPr>
        <w:ind w:firstLine="560" w:firstLineChars="200"/>
        <w:rPr>
          <w:rFonts w:ascii="Times New Roman" w:hAnsi="Times New Roman" w:eastAsia="楷体_GB2312"/>
          <w:b w:val="0"/>
          <w:color w:val="auto"/>
          <w:sz w:val="28"/>
          <w:szCs w:val="28"/>
        </w:rPr>
      </w:pPr>
      <w:bookmarkStart w:id="180" w:name="_Toc406438895"/>
      <w:bookmarkStart w:id="181" w:name="_Toc408300984"/>
      <w:r>
        <w:rPr>
          <w:rFonts w:hint="default" w:ascii="Times New Roman" w:hAnsi="Times New Roman" w:eastAsia="楷体_GB2312"/>
          <w:b w:val="0"/>
          <w:color w:val="auto"/>
          <w:sz w:val="28"/>
          <w:szCs w:val="28"/>
        </w:rPr>
        <w:t>（一）</w:t>
      </w:r>
      <w:r>
        <w:rPr>
          <w:rFonts w:hint="default" w:ascii="Times New Roman" w:hAnsi="Times New Roman" w:eastAsia="楷体_GB2312"/>
          <w:b w:val="0"/>
          <w:color w:val="auto"/>
          <w:sz w:val="28"/>
          <w:szCs w:val="28"/>
          <w:lang w:eastAsia="zh-CN"/>
        </w:rPr>
        <w:t>股票</w:t>
      </w:r>
      <w:r>
        <w:rPr>
          <w:rFonts w:hint="default" w:ascii="Times New Roman" w:hAnsi="Times New Roman" w:eastAsia="楷体_GB2312"/>
          <w:b w:val="0"/>
          <w:color w:val="auto"/>
          <w:sz w:val="28"/>
          <w:szCs w:val="28"/>
        </w:rPr>
        <w:t>期权投资者信息更新</w:t>
      </w:r>
      <w:bookmarkEnd w:id="180"/>
      <w:bookmarkEnd w:id="181"/>
    </w:p>
    <w:p w14:paraId="5DDD82D2">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期货公司应当通过电话、电子邮件、网络、营业部现场交流等方式，动态跟踪投资者开立衍生品合约账户时提供的基本信息，持续了解投资者的基本情况、财务状况以及</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期权交易参与情况等信息。</w:t>
      </w:r>
    </w:p>
    <w:p w14:paraId="5EF55BBD">
      <w:pPr>
        <w:ind w:firstLine="560" w:firstLineChars="200"/>
        <w:rPr>
          <w:rFonts w:ascii="仿宋_GB2312" w:eastAsia="仿宋_GB2312"/>
          <w:color w:val="000000"/>
          <w:sz w:val="28"/>
          <w:szCs w:val="28"/>
        </w:rPr>
      </w:pPr>
      <w:r>
        <w:rPr>
          <w:rFonts w:hint="eastAsia" w:ascii="仿宋_GB2312" w:eastAsia="仿宋_GB2312"/>
          <w:color w:val="000000"/>
          <w:sz w:val="28"/>
          <w:szCs w:val="28"/>
        </w:rPr>
        <w:t>投资者提供的基本信息发生变化的，应及时告知期货公司。期货公司发现客户提供的联络方式等重要信息发生变化的，应当及时了解并更新。</w:t>
      </w:r>
    </w:p>
    <w:p w14:paraId="761F17C8">
      <w:pPr>
        <w:ind w:firstLine="560" w:firstLineChars="200"/>
        <w:rPr>
          <w:rFonts w:ascii="Times New Roman" w:hAnsi="Times New Roman" w:eastAsia="楷体_GB2312"/>
          <w:b w:val="0"/>
          <w:color w:val="auto"/>
          <w:sz w:val="28"/>
          <w:szCs w:val="28"/>
        </w:rPr>
      </w:pPr>
      <w:bookmarkStart w:id="182" w:name="_Toc406438896"/>
      <w:bookmarkStart w:id="183" w:name="_Toc408300985"/>
      <w:r>
        <w:rPr>
          <w:rFonts w:hint="default" w:ascii="Times New Roman" w:hAnsi="Times New Roman" w:eastAsia="楷体_GB2312"/>
          <w:b w:val="0"/>
          <w:color w:val="auto"/>
          <w:sz w:val="28"/>
          <w:szCs w:val="28"/>
        </w:rPr>
        <w:t>（二）后续评估</w:t>
      </w:r>
      <w:bookmarkEnd w:id="182"/>
      <w:bookmarkEnd w:id="183"/>
    </w:p>
    <w:p w14:paraId="59662E29">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应当根据对客户情况的动态跟踪和持续了解，至少每两年对所有已开户的客户的交易情况、诚信记录、风险承受能力、资产状况等进行一次全面评估，判断其是否符合适当性管理以及交易权限分级管理的相关要求。评估结果应当予以记录留存20年。</w:t>
      </w:r>
    </w:p>
    <w:p w14:paraId="6329094E">
      <w:pPr>
        <w:ind w:firstLine="560" w:firstLineChars="200"/>
        <w:rPr>
          <w:rFonts w:ascii="Times New Roman" w:hAnsi="Times New Roman" w:eastAsia="楷体_GB2312"/>
          <w:b w:val="0"/>
          <w:color w:val="auto"/>
          <w:sz w:val="28"/>
          <w:szCs w:val="28"/>
        </w:rPr>
      </w:pPr>
      <w:bookmarkStart w:id="184" w:name="_Toc406438897"/>
      <w:bookmarkStart w:id="185" w:name="_Toc408300986"/>
      <w:r>
        <w:rPr>
          <w:rFonts w:hint="default" w:ascii="Times New Roman" w:hAnsi="Times New Roman" w:eastAsia="楷体_GB2312"/>
          <w:b w:val="0"/>
          <w:color w:val="auto"/>
          <w:sz w:val="28"/>
          <w:szCs w:val="28"/>
        </w:rPr>
        <w:t>（三）交易权限调整</w:t>
      </w:r>
      <w:bookmarkEnd w:id="184"/>
      <w:bookmarkEnd w:id="185"/>
    </w:p>
    <w:p w14:paraId="2524CEC3">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期货公司根据投资者申请并调整其交易权限或者自行调低投资者交易权限的，应当就调整后可能增加的投资风险或者可能丧失的交易权限对投资者进行充分提示，并对相关告知和提示材料予以记录留存20年。</w:t>
      </w:r>
    </w:p>
    <w:p w14:paraId="35FE479B">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1.</w:t>
      </w:r>
      <w:r>
        <w:rPr>
          <w:rFonts w:hint="eastAsia" w:ascii="仿宋_GB2312" w:eastAsia="仿宋_GB2312"/>
          <w:color w:val="000000"/>
          <w:sz w:val="28"/>
          <w:szCs w:val="28"/>
        </w:rPr>
        <w:t>调高交易权限</w:t>
      </w:r>
    </w:p>
    <w:p w14:paraId="46F9BD62">
      <w:pPr>
        <w:ind w:firstLine="560" w:firstLineChars="200"/>
        <w:rPr>
          <w:rFonts w:ascii="仿宋_GB2312" w:eastAsia="仿宋_GB2312"/>
          <w:color w:val="000000"/>
          <w:sz w:val="28"/>
          <w:szCs w:val="28"/>
        </w:rPr>
      </w:pPr>
      <w:r>
        <w:rPr>
          <w:rFonts w:hint="eastAsia" w:ascii="仿宋_GB2312" w:eastAsia="仿宋_GB2312"/>
          <w:color w:val="000000"/>
          <w:sz w:val="28"/>
          <w:szCs w:val="28"/>
        </w:rPr>
        <w:t>投资者的知识测试成绩、</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模拟交易经历、风险承受能力以及金融类资产状况等发生变化，满足较高交易权限对应的资格要求的，可以向期货公司申请调高其交易权限。公司总部审核认定投资者的申请符合适当性管理要求的，可以对其交易权限进行调整。期货公司不得自行调高投资者交易权限。</w:t>
      </w:r>
    </w:p>
    <w:p w14:paraId="3C65D324">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2.</w:t>
      </w:r>
      <w:r>
        <w:rPr>
          <w:rFonts w:hint="eastAsia" w:ascii="仿宋_GB2312" w:eastAsia="仿宋_GB2312"/>
          <w:color w:val="000000"/>
          <w:sz w:val="28"/>
          <w:szCs w:val="28"/>
        </w:rPr>
        <w:t>调低交易权限</w:t>
      </w:r>
    </w:p>
    <w:p w14:paraId="57E06C88">
      <w:pPr>
        <w:ind w:firstLine="560" w:firstLineChars="200"/>
        <w:rPr>
          <w:rFonts w:ascii="仿宋_GB2312" w:eastAsia="仿宋_GB2312"/>
          <w:color w:val="000000"/>
          <w:sz w:val="28"/>
          <w:szCs w:val="28"/>
        </w:rPr>
      </w:pPr>
      <w:r>
        <w:rPr>
          <w:rFonts w:hint="eastAsia" w:ascii="仿宋_GB2312" w:eastAsia="仿宋_GB2312"/>
          <w:color w:val="000000"/>
          <w:sz w:val="28"/>
          <w:szCs w:val="28"/>
        </w:rPr>
        <w:t>投资者可以向期货公司申请调低其交易权限，期货公司应当根据投资者要求，调低其交易权限至相应级别。</w:t>
      </w:r>
    </w:p>
    <w:p w14:paraId="2D51E684">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发现投资者的实际情况已经不符合其交易权限对应的资格要求的，可以自行调低投资者交易权限，并应当至少提前三个交易日通过纸面或者电子形式告知投资者，明确提醒投资者因交易权限调低带来的后果，并</w:t>
      </w:r>
      <w:r>
        <w:rPr>
          <w:rFonts w:hint="eastAsia" w:ascii="Times New Roman" w:hAnsi="Times New Roman" w:eastAsia="仿宋_GB2312"/>
          <w:sz w:val="28"/>
          <w:szCs w:val="28"/>
        </w:rPr>
        <w:t>将相关</w:t>
      </w:r>
      <w:r>
        <w:rPr>
          <w:rFonts w:hint="eastAsia" w:ascii="仿宋_GB2312" w:eastAsia="仿宋_GB2312"/>
          <w:color w:val="000000"/>
          <w:sz w:val="28"/>
          <w:szCs w:val="28"/>
        </w:rPr>
        <w:t>予以记录留存20年。</w:t>
      </w:r>
    </w:p>
    <w:p w14:paraId="09E8DCB4">
      <w:pPr>
        <w:ind w:firstLine="560" w:firstLineChars="200"/>
        <w:outlineLvl w:val="1"/>
        <w:rPr>
          <w:rFonts w:hint="eastAsia" w:ascii="Times New Roman" w:hAnsi="Times New Roman" w:eastAsia="黑体"/>
          <w:sz w:val="28"/>
          <w:szCs w:val="28"/>
        </w:rPr>
      </w:pPr>
      <w:bookmarkStart w:id="186" w:name="_Toc17547"/>
      <w:bookmarkStart w:id="187" w:name="_Toc406438898"/>
      <w:bookmarkStart w:id="188" w:name="_Toc18560"/>
      <w:bookmarkStart w:id="189" w:name="_Toc24872"/>
      <w:bookmarkStart w:id="190" w:name="_Toc408749917"/>
      <w:bookmarkStart w:id="191" w:name="_Toc5096"/>
      <w:bookmarkStart w:id="192" w:name="_Toc23946978"/>
      <w:bookmarkStart w:id="193" w:name="_Toc408300987"/>
      <w:r>
        <w:rPr>
          <w:rFonts w:hint="eastAsia" w:ascii="Times New Roman" w:hAnsi="Times New Roman" w:eastAsia="黑体"/>
          <w:sz w:val="28"/>
          <w:szCs w:val="28"/>
        </w:rPr>
        <w:t>六、客户档案资料管理</w:t>
      </w:r>
      <w:bookmarkEnd w:id="186"/>
      <w:bookmarkEnd w:id="187"/>
      <w:bookmarkEnd w:id="188"/>
      <w:bookmarkEnd w:id="189"/>
      <w:bookmarkEnd w:id="190"/>
      <w:bookmarkEnd w:id="191"/>
      <w:bookmarkEnd w:id="192"/>
      <w:bookmarkEnd w:id="193"/>
    </w:p>
    <w:p w14:paraId="4BDE9CFA">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rPr>
        <w:t>期货公司应根据相关规定的要求对客户的股票期权档案资料进行管理，明确总部及分支机构的档案管理工作职责，满足安全、严格保密、合理存放的管理要求。</w:t>
      </w:r>
    </w:p>
    <w:p w14:paraId="4C9ED795">
      <w:pPr>
        <w:ind w:firstLine="560" w:firstLineChars="200"/>
        <w:rPr>
          <w:rFonts w:ascii="仿宋_GB2312" w:hAnsi="宋体" w:eastAsia="仿宋_GB2312"/>
          <w:color w:val="000000"/>
          <w:sz w:val="28"/>
          <w:szCs w:val="24"/>
        </w:rPr>
      </w:pPr>
      <w:r>
        <w:rPr>
          <w:rFonts w:hint="eastAsia" w:ascii="仿宋_GB2312" w:hAnsi="宋体" w:eastAsia="仿宋_GB2312"/>
          <w:color w:val="000000"/>
          <w:sz w:val="28"/>
          <w:szCs w:val="24"/>
          <w:lang w:eastAsia="zh-CN"/>
        </w:rPr>
        <w:t>股票</w:t>
      </w:r>
      <w:r>
        <w:rPr>
          <w:rFonts w:hint="eastAsia" w:ascii="仿宋_GB2312" w:hAnsi="宋体" w:eastAsia="仿宋_GB2312"/>
          <w:color w:val="000000"/>
          <w:sz w:val="28"/>
          <w:szCs w:val="24"/>
        </w:rPr>
        <w:t>期权客户档案资料包括但不限于客户申请开通股票期权业务时提交的相关资料、客户与期货公司签订的合同文本等相关材料、客户开立账户时所生成的各类文件资料等。所有资料需要妥善保管至少20年。</w:t>
      </w:r>
    </w:p>
    <w:p w14:paraId="391881F4">
      <w:pPr>
        <w:ind w:firstLine="560" w:firstLineChars="200"/>
        <w:outlineLvl w:val="1"/>
        <w:rPr>
          <w:rFonts w:hint="eastAsia" w:ascii="Times New Roman" w:hAnsi="Times New Roman" w:eastAsia="黑体"/>
          <w:sz w:val="28"/>
          <w:szCs w:val="28"/>
        </w:rPr>
      </w:pPr>
      <w:bookmarkStart w:id="194" w:name="_Toc32057"/>
      <w:bookmarkStart w:id="195" w:name="_Toc20661"/>
      <w:bookmarkStart w:id="196" w:name="_Toc2040"/>
      <w:bookmarkStart w:id="197" w:name="_Toc406438899"/>
      <w:bookmarkStart w:id="198" w:name="_Toc12522"/>
      <w:bookmarkStart w:id="199" w:name="_Toc23946979"/>
      <w:bookmarkStart w:id="200" w:name="_Toc408300988"/>
      <w:bookmarkStart w:id="201" w:name="_Toc408749918"/>
      <w:r>
        <w:rPr>
          <w:rFonts w:hint="eastAsia" w:ascii="Times New Roman" w:hAnsi="Times New Roman" w:eastAsia="黑体"/>
          <w:sz w:val="28"/>
          <w:szCs w:val="28"/>
        </w:rPr>
        <w:t>七、本所持续监督管理</w:t>
      </w:r>
      <w:bookmarkEnd w:id="194"/>
      <w:bookmarkEnd w:id="195"/>
      <w:bookmarkEnd w:id="196"/>
      <w:bookmarkEnd w:id="197"/>
      <w:bookmarkEnd w:id="198"/>
      <w:bookmarkEnd w:id="199"/>
      <w:bookmarkEnd w:id="200"/>
      <w:bookmarkEnd w:id="201"/>
    </w:p>
    <w:p w14:paraId="3DD35278">
      <w:pPr>
        <w:ind w:firstLine="560" w:firstLineChars="200"/>
        <w:rPr>
          <w:rFonts w:ascii="仿宋_GB2312" w:eastAsia="仿宋_GB2312"/>
          <w:color w:val="000000"/>
          <w:sz w:val="28"/>
          <w:szCs w:val="28"/>
        </w:rPr>
      </w:pPr>
      <w:r>
        <w:rPr>
          <w:rFonts w:hint="eastAsia" w:ascii="仿宋_GB2312" w:eastAsia="仿宋_GB2312"/>
          <w:color w:val="000000"/>
          <w:sz w:val="28"/>
          <w:szCs w:val="28"/>
        </w:rPr>
        <w:t>本所将对期货公司的投资者适当性评估及分级管理进行持续监督管理，并从越级评估（为投资者评定的级别高于其知识测试级别或模拟交易经历对应级别）、越级交易、信息报备、动态更新、档案管理等多个方面，定期或不定期对期货公司的适当性评估及分级管理进行检查。如发现存在违反投资者适当性管理有关规定的，将根据相关规定进行处理。</w:t>
      </w:r>
    </w:p>
    <w:p w14:paraId="7013065F">
      <w:pPr>
        <w:jc w:val="center"/>
        <w:outlineLvl w:val="0"/>
        <w:rPr>
          <w:rFonts w:ascii="Times New Roman" w:hAnsi="Times New Roman" w:eastAsia="黑体"/>
          <w:b/>
          <w:bCs/>
          <w:sz w:val="30"/>
          <w:szCs w:val="24"/>
        </w:rPr>
      </w:pPr>
      <w:bookmarkStart w:id="202" w:name="_Toc406438950"/>
      <w:bookmarkStart w:id="203" w:name="_Toc406439135"/>
      <w:bookmarkStart w:id="204" w:name="_Toc406436501"/>
      <w:bookmarkStart w:id="205" w:name="_Toc403729901"/>
      <w:bookmarkStart w:id="206" w:name="_Toc406438900"/>
    </w:p>
    <w:p w14:paraId="3EDBE7F9">
      <w:pPr>
        <w:jc w:val="center"/>
        <w:outlineLvl w:val="0"/>
        <w:rPr>
          <w:rFonts w:ascii="Times New Roman" w:hAnsi="Times New Roman" w:eastAsia="黑体"/>
          <w:b/>
          <w:bCs/>
          <w:sz w:val="30"/>
          <w:szCs w:val="24"/>
        </w:rPr>
      </w:pPr>
    </w:p>
    <w:p w14:paraId="5F15B49E">
      <w:pPr>
        <w:jc w:val="both"/>
        <w:outlineLvl w:val="0"/>
        <w:rPr>
          <w:rFonts w:ascii="Times New Roman" w:hAnsi="Times New Roman" w:eastAsia="黑体"/>
          <w:b/>
          <w:bCs/>
          <w:sz w:val="30"/>
          <w:szCs w:val="24"/>
        </w:rPr>
      </w:pPr>
    </w:p>
    <w:p w14:paraId="37558624">
      <w:pPr>
        <w:jc w:val="both"/>
        <w:outlineLvl w:val="0"/>
        <w:rPr>
          <w:rFonts w:ascii="Times New Roman" w:hAnsi="Times New Roman" w:eastAsia="黑体"/>
          <w:b/>
          <w:bCs/>
          <w:sz w:val="30"/>
          <w:szCs w:val="24"/>
        </w:rPr>
      </w:pPr>
    </w:p>
    <w:p w14:paraId="120A07A9">
      <w:pPr>
        <w:jc w:val="both"/>
        <w:outlineLvl w:val="0"/>
        <w:rPr>
          <w:rFonts w:ascii="Times New Roman" w:hAnsi="Times New Roman" w:eastAsia="黑体"/>
          <w:b/>
          <w:bCs/>
          <w:sz w:val="30"/>
          <w:szCs w:val="24"/>
        </w:rPr>
      </w:pPr>
    </w:p>
    <w:p w14:paraId="3C1B692B">
      <w:pPr>
        <w:pStyle w:val="5"/>
        <w:ind w:firstLine="0" w:firstLineChars="0"/>
        <w:jc w:val="center"/>
        <w:rPr>
          <w:rFonts w:ascii="黑体" w:hAnsi="黑体" w:eastAsia="黑体"/>
          <w:sz w:val="32"/>
        </w:rPr>
      </w:pPr>
      <w:bookmarkStart w:id="207" w:name="_Toc408749919"/>
      <w:bookmarkStart w:id="208" w:name="_Toc31045"/>
      <w:bookmarkStart w:id="209" w:name="_Toc23946980"/>
      <w:bookmarkStart w:id="210" w:name="_Toc1153"/>
      <w:bookmarkStart w:id="211" w:name="_Toc408300989"/>
      <w:bookmarkStart w:id="212" w:name="_Toc3371"/>
      <w:bookmarkStart w:id="213" w:name="_Toc11289"/>
      <w:r>
        <w:rPr>
          <w:rFonts w:hint="eastAsia" w:ascii="黑体" w:hAnsi="黑体" w:eastAsia="黑体"/>
          <w:sz w:val="32"/>
        </w:rPr>
        <w:t>第四章 开户管理</w:t>
      </w:r>
      <w:bookmarkEnd w:id="202"/>
      <w:bookmarkEnd w:id="203"/>
      <w:bookmarkEnd w:id="204"/>
      <w:bookmarkEnd w:id="205"/>
      <w:bookmarkEnd w:id="206"/>
      <w:bookmarkEnd w:id="207"/>
      <w:bookmarkEnd w:id="208"/>
      <w:bookmarkEnd w:id="209"/>
      <w:bookmarkEnd w:id="210"/>
      <w:bookmarkEnd w:id="211"/>
      <w:bookmarkEnd w:id="212"/>
      <w:bookmarkEnd w:id="213"/>
    </w:p>
    <w:p w14:paraId="205CA17F">
      <w:pPr>
        <w:ind w:firstLine="560" w:firstLineChars="200"/>
        <w:outlineLvl w:val="1"/>
        <w:rPr>
          <w:rFonts w:hint="eastAsia" w:ascii="Times New Roman" w:hAnsi="Times New Roman" w:eastAsia="黑体"/>
          <w:sz w:val="28"/>
          <w:szCs w:val="28"/>
        </w:rPr>
      </w:pPr>
      <w:bookmarkStart w:id="214" w:name="_Toc406438901"/>
      <w:bookmarkStart w:id="215" w:name="_Toc8532"/>
      <w:bookmarkStart w:id="216" w:name="_Toc408300990"/>
      <w:bookmarkStart w:id="217" w:name="_Toc23480"/>
      <w:bookmarkStart w:id="218" w:name="_Toc408749920"/>
      <w:bookmarkStart w:id="219" w:name="_Toc23946981"/>
      <w:bookmarkStart w:id="220" w:name="_Toc26165"/>
      <w:bookmarkStart w:id="221" w:name="_Toc21974"/>
      <w:r>
        <w:rPr>
          <w:rFonts w:hint="eastAsia" w:ascii="Times New Roman" w:hAnsi="Times New Roman" w:eastAsia="黑体"/>
          <w:sz w:val="28"/>
          <w:szCs w:val="28"/>
        </w:rPr>
        <w:t>一、账户体系</w:t>
      </w:r>
      <w:bookmarkEnd w:id="214"/>
      <w:bookmarkEnd w:id="215"/>
      <w:bookmarkEnd w:id="216"/>
      <w:bookmarkEnd w:id="217"/>
      <w:bookmarkEnd w:id="218"/>
      <w:bookmarkEnd w:id="219"/>
      <w:bookmarkEnd w:id="220"/>
      <w:bookmarkEnd w:id="221"/>
    </w:p>
    <w:p w14:paraId="26E1282E">
      <w:pPr>
        <w:ind w:firstLine="560" w:firstLineChars="200"/>
        <w:jc w:val="left"/>
        <w:rPr>
          <w:rFonts w:ascii="Times New Roman" w:hAnsi="Times New Roman" w:eastAsia="楷体_GB2312"/>
          <w:b w:val="0"/>
          <w:color w:val="auto"/>
          <w:sz w:val="28"/>
          <w:szCs w:val="28"/>
        </w:rPr>
      </w:pPr>
      <w:bookmarkStart w:id="222" w:name="_Toc406438902"/>
      <w:r>
        <w:rPr>
          <w:rFonts w:hint="default" w:ascii="Times New Roman" w:hAnsi="Times New Roman" w:eastAsia="楷体_GB2312"/>
          <w:b w:val="0"/>
          <w:color w:val="auto"/>
          <w:sz w:val="28"/>
          <w:szCs w:val="28"/>
        </w:rPr>
        <w:t>（一）客户需要开立的账户</w:t>
      </w:r>
    </w:p>
    <w:p w14:paraId="5E118549">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lang w:val="en-US" w:eastAsia="zh-CN"/>
        </w:rPr>
        <w:t>1.</w:t>
      </w:r>
      <w:r>
        <w:rPr>
          <w:rFonts w:hint="eastAsia" w:ascii="仿宋_GB2312" w:eastAsia="仿宋_GB2312"/>
          <w:color w:val="000000"/>
          <w:sz w:val="28"/>
          <w:szCs w:val="28"/>
        </w:rPr>
        <w:t>证券现货交易相关账户</w:t>
      </w:r>
    </w:p>
    <w:p w14:paraId="02356C11">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（1）证券账户</w:t>
      </w:r>
    </w:p>
    <w:p w14:paraId="24E8D88D">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用于证券现货交易。期货公司客户参与</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期权交易，应当向期货公司申请开立证券账户。已经在证券公司开立了证券账户的，应当在期货公司另行开立证券账户。</w:t>
      </w:r>
    </w:p>
    <w:p w14:paraId="15653152">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期货公司客户参与</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期权知识测试时，尚未在期货公司开立证券账户的，期货公司可以先为客户开立证券账户，便于客户提交知识测试需要的相关信息，待期货公司完成对客户的适当性管理审核后，再为客户证券账户开通使用权限。</w:t>
      </w:r>
    </w:p>
    <w:p w14:paraId="4A4DC814">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（2）证券现货资金账户</w:t>
      </w:r>
    </w:p>
    <w:p w14:paraId="381DAB82">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期货公司客户应当在存管银行开立与证券账户相对应的资金账户。</w:t>
      </w:r>
    </w:p>
    <w:p w14:paraId="560E7A0F">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2.股票期权交易相关账户</w:t>
      </w:r>
    </w:p>
    <w:p w14:paraId="564AF770">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（1）衍生品合约账户</w:t>
      </w:r>
    </w:p>
    <w:p w14:paraId="399E0930">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投资者向期货公司申请开立衍生品合约账户，期货公司向中国结算上海分公司报送账户注册资料等信息，并申请配发编号。中国结算根据期货公司提交的配号申请，按照证券账户号码加三位固定数字“888”的配号规则发放合约账户号码。</w:t>
      </w:r>
    </w:p>
    <w:p w14:paraId="5C71F8CF">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衍生品合约账户与投资者在期货公司开立的证券账户一一对应，用于客户</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期权交易、行权申报和记录</w:t>
      </w:r>
      <w:r>
        <w:rPr>
          <w:rFonts w:hint="eastAsia" w:ascii="仿宋_GB2312" w:eastAsia="仿宋_GB2312"/>
          <w:color w:val="000000"/>
          <w:sz w:val="28"/>
          <w:szCs w:val="28"/>
          <w:lang w:eastAsia="zh-CN"/>
        </w:rPr>
        <w:t>股票</w:t>
      </w:r>
      <w:r>
        <w:rPr>
          <w:rFonts w:hint="eastAsia" w:ascii="仿宋_GB2312" w:eastAsia="仿宋_GB2312"/>
          <w:color w:val="000000"/>
          <w:sz w:val="28"/>
          <w:szCs w:val="28"/>
        </w:rPr>
        <w:t>期权合约持仓信息。</w:t>
      </w:r>
    </w:p>
    <w:p w14:paraId="787822DC">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（2）股票期权保证金账户</w:t>
      </w:r>
    </w:p>
    <w:p w14:paraId="6C92AF06">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股票期权保证金账户用于权利金和行权资金的交收及股票期权保证金的存放。期货公司客户可以复用其期货保证金账户。</w:t>
      </w:r>
    </w:p>
    <w:p w14:paraId="1D43D1D3">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（3）银行结算账户</w:t>
      </w:r>
    </w:p>
    <w:p w14:paraId="09F9017D">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银行结算账户用于与股票期权保证金账户之间进行资金划转，期货公司客户可使用已有的银行结算账户。</w:t>
      </w:r>
    </w:p>
    <w:p w14:paraId="3D9BD298">
      <w:pPr>
        <w:ind w:firstLine="560" w:firstLineChars="200"/>
        <w:jc w:val="left"/>
        <w:rPr>
          <w:rFonts w:ascii="Times New Roman" w:hAnsi="Times New Roman" w:eastAsia="楷体_GB2312"/>
          <w:b w:val="0"/>
          <w:color w:val="auto"/>
          <w:sz w:val="28"/>
          <w:szCs w:val="28"/>
        </w:rPr>
      </w:pPr>
      <w:r>
        <w:rPr>
          <w:rFonts w:hint="default" w:ascii="Times New Roman" w:hAnsi="Times New Roman" w:eastAsia="楷体_GB2312"/>
          <w:b w:val="0"/>
          <w:color w:val="auto"/>
          <w:sz w:val="28"/>
          <w:szCs w:val="28"/>
        </w:rPr>
        <w:t>（二）期货公司需要开立的账户</w:t>
      </w:r>
    </w:p>
    <w:p w14:paraId="5F56BDB7">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1.证券现货交易相关账户</w:t>
      </w:r>
    </w:p>
    <w:p w14:paraId="1461F518">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期货公司参与股票期权业务的现货交易相关账户体系可以参照证券公司股票交易账户体系设置。主要账户如下：</w:t>
      </w:r>
    </w:p>
    <w:p w14:paraId="213DF30E">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（1）资金交收账户（结算备付金账户）</w:t>
      </w:r>
    </w:p>
    <w:p w14:paraId="108AACF5">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用于办理期货公司与中国结算之间针对备兑开仓以及行权相关的证券交易的资金交收。</w:t>
      </w:r>
    </w:p>
    <w:p w14:paraId="24DCC842">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（2）客户交易结算资金专用存款账户</w:t>
      </w:r>
    </w:p>
    <w:p w14:paraId="3E7532A8">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期货公司需要就相应的证券交易在结算银行开立客户交易结算资金专用存款账户，用于存放客户现货交易结算资金。</w:t>
      </w:r>
    </w:p>
    <w:p w14:paraId="3DA791B7">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2.股票期权交易相关账户</w:t>
      </w:r>
    </w:p>
    <w:p w14:paraId="216A2FAB">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（1）客户股票期权保证金账户</w:t>
      </w:r>
    </w:p>
    <w:p w14:paraId="231963C5">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具备中国结算上海分公司结算参与人资格的期货公司在中国结算上海分公司开立客户股票期权保证金账户，用于客户股票期权业务的资金交收。</w:t>
      </w:r>
    </w:p>
    <w:p w14:paraId="3A7E171B">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（2）客户衍生品结算资金汇总账户</w:t>
      </w:r>
    </w:p>
    <w:p w14:paraId="293228A6">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期货公司可以复用其在结算银行开立的期货保证金账户，无需另行在结算银行开立客户衍生品结算资金汇总账户。</w:t>
      </w:r>
    </w:p>
    <w:p w14:paraId="413A19A5">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（3）证券处置账户</w:t>
      </w:r>
    </w:p>
    <w:p w14:paraId="59695C03">
      <w:pPr>
        <w:ind w:firstLine="560" w:firstLineChars="200"/>
        <w:jc w:val="left"/>
        <w:rPr>
          <w:rFonts w:ascii="仿宋_GB2312" w:eastAsia="仿宋_GB2312"/>
          <w:color w:val="000000"/>
          <w:sz w:val="28"/>
          <w:szCs w:val="28"/>
        </w:rPr>
      </w:pPr>
      <w:r>
        <w:rPr>
          <w:rFonts w:hint="eastAsia" w:ascii="仿宋_GB2312" w:eastAsia="仿宋_GB2312"/>
          <w:color w:val="000000"/>
          <w:sz w:val="28"/>
          <w:szCs w:val="28"/>
        </w:rPr>
        <w:t>结算参与人在业务开展前向中国结算申请开立证券处置账户。如结算参与人客户出现行权资金交收违约，结算参与人可以通过交易系统发出指令，委托中国结算将客户行权应得标的证券划付到其证券处置账户内，并可根据相关规定或与客户的约定对证券处置账户内的客户行权标的证券予以处置。</w:t>
      </w:r>
    </w:p>
    <w:bookmarkEnd w:id="222"/>
    <w:p w14:paraId="494044D7">
      <w:pPr>
        <w:ind w:firstLine="560"/>
        <w:jc w:val="both"/>
        <w:rPr>
          <w:rFonts w:hint="eastAsia" w:ascii="Times New Roman" w:hAnsi="Times New Roman" w:eastAsia="黑体"/>
          <w:sz w:val="28"/>
          <w:szCs w:val="28"/>
        </w:rPr>
      </w:pPr>
      <w:bookmarkStart w:id="223" w:name="_Toc807"/>
      <w:bookmarkStart w:id="224" w:name="_Toc23946982"/>
      <w:bookmarkStart w:id="225" w:name="_Toc32640"/>
      <w:bookmarkStart w:id="226" w:name="_Toc408749992"/>
      <w:bookmarkStart w:id="227" w:name="_Toc408300991"/>
      <w:bookmarkStart w:id="228" w:name="_Toc406438904"/>
      <w:bookmarkStart w:id="229" w:name="_Toc408749921"/>
      <w:r>
        <w:rPr>
          <w:rFonts w:hint="eastAsia" w:ascii="Times New Roman" w:hAnsi="Times New Roman" w:eastAsia="黑体"/>
          <w:sz w:val="28"/>
          <w:szCs w:val="28"/>
        </w:rPr>
        <w:t>二、衍生品合约账户的开立与管理</w:t>
      </w:r>
      <w:bookmarkEnd w:id="223"/>
      <w:bookmarkEnd w:id="224"/>
      <w:bookmarkEnd w:id="225"/>
      <w:bookmarkEnd w:id="226"/>
    </w:p>
    <w:p w14:paraId="21700E30">
      <w:pPr>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 xml:space="preserve">  </w:t>
      </w:r>
      <w:r>
        <w:rPr>
          <w:rFonts w:hint="default" w:ascii="Times New Roman" w:hAnsi="Times New Roman" w:eastAsia="楷体_GB2312" w:cs="Times New Roman"/>
          <w:bCs w:val="0"/>
          <w:color w:val="auto"/>
          <w:kern w:val="2"/>
          <w:sz w:val="28"/>
          <w:szCs w:val="28"/>
        </w:rPr>
        <w:t xml:space="preserve"> </w:t>
      </w:r>
      <w:r>
        <w:rPr>
          <w:rFonts w:hint="default" w:ascii="Times New Roman" w:hAnsi="Times New Roman" w:eastAsia="楷体_GB2312" w:cs="Times New Roman"/>
          <w:b w:val="0"/>
          <w:color w:val="auto"/>
          <w:kern w:val="2"/>
          <w:sz w:val="28"/>
          <w:szCs w:val="28"/>
        </w:rPr>
        <w:t>（一）个人投资者股票期权开户</w:t>
      </w:r>
    </w:p>
    <w:p w14:paraId="460E63E7">
      <w:pPr>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 xml:space="preserve">    </w:t>
      </w:r>
      <w:r>
        <w:rPr>
          <w:rFonts w:hint="eastAsia" w:ascii="仿宋_GB2312" w:hAnsi="宋体" w:eastAsia="仿宋_GB2312" w:cs="仿宋_GB2312"/>
          <w:bCs/>
          <w:color w:val="000000"/>
          <w:kern w:val="0"/>
          <w:sz w:val="28"/>
          <w:szCs w:val="28"/>
          <w:lang w:val="en-US" w:eastAsia="zh-CN"/>
        </w:rPr>
        <w:t>1.</w:t>
      </w:r>
      <w:r>
        <w:rPr>
          <w:rFonts w:hint="eastAsia" w:ascii="仿宋_GB2312" w:hAnsi="宋体" w:eastAsia="仿宋_GB2312" w:cs="仿宋_GB2312"/>
          <w:bCs/>
          <w:color w:val="000000"/>
          <w:kern w:val="0"/>
          <w:sz w:val="28"/>
          <w:szCs w:val="28"/>
        </w:rPr>
        <w:t>投资者开户需要准备的资料</w:t>
      </w:r>
    </w:p>
    <w:p w14:paraId="57A3C800">
      <w:pPr>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 xml:space="preserve">    1.1 身份证</w:t>
      </w:r>
    </w:p>
    <w:p w14:paraId="6B64A6DD">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1.2 融资融券业务账户证明（已开立融资融券账户投资者）或期货公司出具的金融期货交易结算单</w:t>
      </w:r>
    </w:p>
    <w:p w14:paraId="32DE9085">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1.3 期货公司要求的其他材料</w:t>
      </w:r>
    </w:p>
    <w:p w14:paraId="14088004">
      <w:pPr>
        <w:ind w:firstLine="560" w:firstLineChars="200"/>
        <w:rPr>
          <w:rFonts w:ascii="Times New Roman" w:hAnsi="Times New Roman" w:eastAsia="仿宋_GB2312" w:cs="Times New Roman"/>
          <w:b w:val="0"/>
          <w:color w:val="auto"/>
          <w:kern w:val="2"/>
          <w:sz w:val="28"/>
          <w:szCs w:val="28"/>
        </w:rPr>
      </w:pPr>
      <w:r>
        <w:rPr>
          <w:rFonts w:hint="default" w:ascii="Times New Roman" w:hAnsi="Times New Roman" w:eastAsia="仿宋_GB2312" w:cs="Times New Roman"/>
          <w:b w:val="0"/>
          <w:color w:val="auto"/>
          <w:kern w:val="2"/>
          <w:sz w:val="28"/>
          <w:szCs w:val="28"/>
          <w:lang w:val="en-US" w:eastAsia="zh-CN"/>
        </w:rPr>
        <w:t>2.</w:t>
      </w:r>
      <w:r>
        <w:rPr>
          <w:rFonts w:hint="default" w:ascii="Times New Roman" w:hAnsi="Times New Roman" w:eastAsia="仿宋_GB2312" w:cs="Times New Roman"/>
          <w:b w:val="0"/>
          <w:color w:val="auto"/>
          <w:kern w:val="2"/>
          <w:sz w:val="28"/>
          <w:szCs w:val="28"/>
        </w:rPr>
        <w:t>营业部资格初审</w:t>
      </w:r>
    </w:p>
    <w:p w14:paraId="42B57104">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营业部根据本指南第三章投资者适当性管理的认定标准进行资格初审。</w:t>
      </w:r>
    </w:p>
    <w:p w14:paraId="62140351">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2.1核对投资者身份证明文件：必须投资者本人持有效证件临柜开户。</w:t>
      </w:r>
    </w:p>
    <w:p w14:paraId="57D44DF8">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2.2核对上海证券交易所</w:t>
      </w:r>
      <w:r>
        <w:rPr>
          <w:rFonts w:hint="eastAsia" w:ascii="仿宋_GB2312" w:hAnsi="宋体" w:eastAsia="仿宋_GB2312" w:cs="仿宋_GB2312"/>
          <w:bCs/>
          <w:color w:val="000000"/>
          <w:kern w:val="0"/>
          <w:sz w:val="28"/>
          <w:szCs w:val="28"/>
          <w:lang w:val="en-US" w:eastAsia="zh-CN"/>
        </w:rPr>
        <w:t>A</w:t>
      </w:r>
      <w:r>
        <w:rPr>
          <w:rFonts w:hint="eastAsia" w:ascii="仿宋_GB2312" w:hAnsi="宋体" w:eastAsia="仿宋_GB2312" w:cs="仿宋_GB2312"/>
          <w:bCs/>
          <w:color w:val="000000"/>
          <w:kern w:val="0"/>
          <w:sz w:val="28"/>
          <w:szCs w:val="28"/>
        </w:rPr>
        <w:t>股证券账户：</w:t>
      </w:r>
    </w:p>
    <w:p w14:paraId="7F84F6A6">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lang w:val="en-US" w:eastAsia="zh-CN"/>
        </w:rPr>
        <w:t>1</w:t>
      </w: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rPr>
        <w:t>若在本公司已有A股账户，核对通过；</w:t>
      </w:r>
    </w:p>
    <w:p w14:paraId="37C9082D">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lang w:val="en-US" w:eastAsia="zh-CN"/>
        </w:rPr>
        <w:t>2</w:t>
      </w: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rPr>
        <w:t>若无本公司A股账户，需首先开立A股账户。</w:t>
      </w:r>
    </w:p>
    <w:p w14:paraId="6F1F0017">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2.3核对托管资产。</w:t>
      </w:r>
    </w:p>
    <w:p w14:paraId="63802091">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2.4核对交易经历。</w:t>
      </w:r>
    </w:p>
    <w:p w14:paraId="1CB5042F">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2.5核对</w:t>
      </w:r>
      <w:r>
        <w:rPr>
          <w:rFonts w:hint="eastAsia" w:ascii="仿宋_GB2312" w:hAnsi="宋体" w:eastAsia="仿宋_GB2312" w:cs="仿宋_GB2312"/>
          <w:bCs/>
          <w:color w:val="000000"/>
          <w:kern w:val="0"/>
          <w:sz w:val="28"/>
          <w:szCs w:val="28"/>
          <w:lang w:eastAsia="zh-CN"/>
        </w:rPr>
        <w:t>股票</w:t>
      </w:r>
      <w:r>
        <w:rPr>
          <w:rFonts w:hint="eastAsia" w:ascii="仿宋_GB2312" w:hAnsi="宋体" w:eastAsia="仿宋_GB2312" w:cs="仿宋_GB2312"/>
          <w:bCs/>
          <w:color w:val="000000"/>
          <w:kern w:val="0"/>
          <w:sz w:val="28"/>
          <w:szCs w:val="28"/>
        </w:rPr>
        <w:t>期权模拟交易经历。</w:t>
      </w:r>
    </w:p>
    <w:p w14:paraId="548E15E3">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2.6核对知识测试成绩。</w:t>
      </w:r>
    </w:p>
    <w:p w14:paraId="5C1167AF">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2.7评估客户风险承受能力。</w:t>
      </w:r>
    </w:p>
    <w:p w14:paraId="708BFBF0">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2.8核实投资者诚信记录。</w:t>
      </w:r>
    </w:p>
    <w:p w14:paraId="60FCB884">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2.9完成适当性综合评估表。</w:t>
      </w:r>
    </w:p>
    <w:p w14:paraId="21AEB116">
      <w:pPr>
        <w:ind w:firstLine="560" w:firstLineChars="200"/>
        <w:rPr>
          <w:rFonts w:ascii="Times New Roman" w:hAnsi="Times New Roman" w:eastAsia="仿宋_GB2312" w:cs="Times New Roman"/>
          <w:b w:val="0"/>
          <w:color w:val="auto"/>
          <w:kern w:val="2"/>
          <w:sz w:val="28"/>
          <w:szCs w:val="28"/>
        </w:rPr>
      </w:pPr>
      <w:r>
        <w:rPr>
          <w:rFonts w:hint="default" w:ascii="Times New Roman" w:hAnsi="Times New Roman" w:eastAsia="仿宋_GB2312" w:cs="Times New Roman"/>
          <w:b w:val="0"/>
          <w:color w:val="auto"/>
          <w:kern w:val="2"/>
          <w:sz w:val="28"/>
          <w:szCs w:val="28"/>
          <w:lang w:val="en-US" w:eastAsia="zh-CN"/>
        </w:rPr>
        <w:t>3.</w:t>
      </w:r>
      <w:r>
        <w:rPr>
          <w:rFonts w:hint="default" w:ascii="Times New Roman" w:hAnsi="Times New Roman" w:eastAsia="仿宋_GB2312" w:cs="Times New Roman"/>
          <w:b w:val="0"/>
          <w:color w:val="auto"/>
          <w:kern w:val="2"/>
          <w:sz w:val="28"/>
          <w:szCs w:val="28"/>
        </w:rPr>
        <w:t xml:space="preserve">开户程序 </w:t>
      </w:r>
    </w:p>
    <w:p w14:paraId="451C8493">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3.1向客户解释风险揭示书及经纪合同的核心内容</w:t>
      </w:r>
    </w:p>
    <w:p w14:paraId="0ADE17FB">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为提高效率，期货公司可在投资者临柜前将经纪合同、风险揭示书等相关开户资料提前发给投资者阅知，或提醒投资者认真阅读上述文件。各期货公司应在符合相关指引和通知要求的前提下，尽量缩短客户临柜开户时间，提高开户效率，提升客户体验。</w:t>
      </w:r>
    </w:p>
    <w:p w14:paraId="6318AC5B">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3.2投资者签署风险揭示书</w:t>
      </w:r>
    </w:p>
    <w:p w14:paraId="217D0104">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投资者按风险揭示书要求抄写或朗读承诺并签名，期货公司对投资者抄写或朗读承诺文字的过程进行拍照或录像存档。</w:t>
      </w:r>
    </w:p>
    <w:p w14:paraId="6DB78C6D">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3.3投资者签署经纪合同</w:t>
      </w:r>
    </w:p>
    <w:p w14:paraId="20014B98">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投资者可以在通过相应等级知识测试并申请相应等级交易权限的同时，当场签署开户申请表、风险揭示书、经纪合同等开户必备文件，一次临柜完成开户相关文件的填写和签署。期货公司在完成后续审核之前，应当充分告知投资者开户相关文件需经期货公司完成后续审核后方可生效。</w:t>
      </w:r>
    </w:p>
    <w:p w14:paraId="17651CF7">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3.4为投资者办理所有开户手续（包括密码设置等</w:t>
      </w: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rPr>
        <w:t>，但在总部完成审核前，账户暂不生效。</w:t>
      </w:r>
    </w:p>
    <w:p w14:paraId="229A3F96">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3.5期货公司总部进行审核</w:t>
      </w:r>
    </w:p>
    <w:p w14:paraId="11099F77">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投资者适当性评估及交易权限分级等事宜经期货公司总部</w:t>
      </w:r>
      <w:r>
        <w:rPr>
          <w:rFonts w:hint="eastAsia" w:ascii="仿宋_GB2312" w:hAnsi="宋体" w:eastAsia="仿宋_GB2312" w:cs="仿宋_GB2312"/>
          <w:bCs/>
          <w:color w:val="000000"/>
          <w:kern w:val="0"/>
          <w:sz w:val="28"/>
          <w:szCs w:val="28"/>
          <w:lang w:eastAsia="zh-CN"/>
        </w:rPr>
        <w:t>股票</w:t>
      </w:r>
      <w:r>
        <w:rPr>
          <w:rFonts w:hint="eastAsia" w:ascii="仿宋_GB2312" w:hAnsi="宋体" w:eastAsia="仿宋_GB2312" w:cs="仿宋_GB2312"/>
          <w:bCs/>
          <w:color w:val="000000"/>
          <w:kern w:val="0"/>
          <w:sz w:val="28"/>
          <w:szCs w:val="28"/>
        </w:rPr>
        <w:t>期权经纪业务相关部门负责人或其授权人核准后，营业部可为投资者激活衍生品合约账户和股票期权保证金账户；未通过相关审核的，期货公司不得对开户相关文件进行签署，投资者此前签署的文件即予作废处理。</w:t>
      </w:r>
    </w:p>
    <w:p w14:paraId="7AC5DF36">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3.6开户结果反馈，通知客户办理银衍签约</w:t>
      </w:r>
    </w:p>
    <w:p w14:paraId="39F09813">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期货公司应当及时将审核及开户结果告知投资者，通知通过审核的投资者办理银衍签约。</w:t>
      </w:r>
    </w:p>
    <w:p w14:paraId="2A292DCC">
      <w:pPr>
        <w:ind w:firstLine="560" w:firstLineChars="200"/>
        <w:rPr>
          <w:rFonts w:ascii="Times New Roman" w:hAnsi="Times New Roman" w:eastAsia="楷体_GB2312" w:cs="Times New Roman"/>
          <w:b w:val="0"/>
          <w:color w:val="auto"/>
          <w:kern w:val="2"/>
          <w:sz w:val="28"/>
          <w:szCs w:val="28"/>
        </w:rPr>
      </w:pPr>
      <w:r>
        <w:rPr>
          <w:rFonts w:hint="default" w:ascii="Times New Roman" w:hAnsi="Times New Roman" w:eastAsia="楷体_GB2312" w:cs="Times New Roman"/>
          <w:b w:val="0"/>
          <w:color w:val="auto"/>
          <w:kern w:val="2"/>
          <w:sz w:val="28"/>
          <w:szCs w:val="28"/>
        </w:rPr>
        <w:t>（二）机构投资者股票期权开户</w:t>
      </w:r>
    </w:p>
    <w:p w14:paraId="2ABB69EF">
      <w:pPr>
        <w:ind w:firstLine="560" w:firstLineChars="200"/>
        <w:rPr>
          <w:rFonts w:ascii="Times New Roman" w:hAnsi="Times New Roman" w:eastAsia="仿宋_GB2312" w:cs="Times New Roman"/>
          <w:b w:val="0"/>
          <w:color w:val="auto"/>
          <w:kern w:val="2"/>
          <w:sz w:val="28"/>
          <w:szCs w:val="28"/>
        </w:rPr>
      </w:pPr>
      <w:r>
        <w:rPr>
          <w:rFonts w:hint="default" w:ascii="Times New Roman" w:hAnsi="Times New Roman" w:eastAsia="仿宋_GB2312" w:cs="Times New Roman"/>
          <w:b w:val="0"/>
          <w:color w:val="auto"/>
          <w:kern w:val="2"/>
          <w:sz w:val="28"/>
          <w:szCs w:val="28"/>
        </w:rPr>
        <w:t xml:space="preserve"> </w:t>
      </w:r>
      <w:r>
        <w:rPr>
          <w:rFonts w:hint="default" w:ascii="Times New Roman" w:hAnsi="Times New Roman" w:eastAsia="仿宋_GB2312" w:cs="Times New Roman"/>
          <w:b w:val="0"/>
          <w:color w:val="auto"/>
          <w:kern w:val="2"/>
          <w:sz w:val="28"/>
          <w:szCs w:val="28"/>
          <w:lang w:val="en-US" w:eastAsia="zh-CN"/>
        </w:rPr>
        <w:t>1.</w:t>
      </w:r>
      <w:r>
        <w:rPr>
          <w:rFonts w:hint="default" w:ascii="Times New Roman" w:hAnsi="Times New Roman" w:eastAsia="仿宋_GB2312" w:cs="Times New Roman"/>
          <w:b w:val="0"/>
          <w:color w:val="auto"/>
          <w:kern w:val="2"/>
          <w:sz w:val="28"/>
          <w:szCs w:val="28"/>
        </w:rPr>
        <w:t>开户准备材料</w:t>
      </w:r>
    </w:p>
    <w:p w14:paraId="73E0C2F8">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 xml:space="preserve"> 1.1法人证明证件：组织机构代码证、工商营业执照、税务登记证。</w:t>
      </w:r>
    </w:p>
    <w:p w14:paraId="7F80EA33">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1.2期货公司所需的机构投资者经办人身份证明和业务授权等材料。</w:t>
      </w:r>
    </w:p>
    <w:p w14:paraId="444B3A83">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1.3对于普通机构投资者，还需提供上一季末净资产相关证明，或最近净资产证明。</w:t>
      </w:r>
    </w:p>
    <w:p w14:paraId="1CAF26A8">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1.4根据相关监管机构要求需要进行备案的专业机构投资者，还需提供在相关监管机构的成立备案文件。</w:t>
      </w:r>
    </w:p>
    <w:p w14:paraId="042681FA">
      <w:pPr>
        <w:ind w:firstLine="560" w:firstLineChars="200"/>
        <w:rPr>
          <w:rFonts w:ascii="Times New Roman" w:hAnsi="Times New Roman" w:eastAsia="仿宋_GB2312" w:cs="Times New Roman"/>
          <w:b w:val="0"/>
          <w:color w:val="auto"/>
          <w:kern w:val="2"/>
          <w:sz w:val="28"/>
          <w:szCs w:val="28"/>
        </w:rPr>
      </w:pPr>
      <w:r>
        <w:rPr>
          <w:rFonts w:hint="default" w:ascii="Times New Roman" w:hAnsi="Times New Roman" w:eastAsia="仿宋_GB2312" w:cs="Times New Roman"/>
          <w:b w:val="0"/>
          <w:color w:val="auto"/>
          <w:kern w:val="2"/>
          <w:sz w:val="28"/>
          <w:szCs w:val="28"/>
          <w:lang w:val="en-US" w:eastAsia="zh-CN"/>
        </w:rPr>
        <w:t>2.</w:t>
      </w:r>
      <w:r>
        <w:rPr>
          <w:rFonts w:hint="default" w:ascii="Times New Roman" w:hAnsi="Times New Roman" w:eastAsia="仿宋_GB2312" w:cs="Times New Roman"/>
          <w:b w:val="0"/>
          <w:color w:val="auto"/>
          <w:kern w:val="2"/>
          <w:sz w:val="28"/>
          <w:szCs w:val="28"/>
        </w:rPr>
        <w:t>普通机构投资者资格初审</w:t>
      </w:r>
    </w:p>
    <w:p w14:paraId="1660CB2C">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2.1核对机构法人证明文件：原件与复印件一致性、年检有效期等信息。</w:t>
      </w:r>
    </w:p>
    <w:p w14:paraId="1EFFFBE1">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2.2核对机构投资者经办人身份信息和业务授权等材料。</w:t>
      </w:r>
    </w:p>
    <w:p w14:paraId="604917CA">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2.3核对上海证券交易所</w:t>
      </w:r>
      <w:r>
        <w:rPr>
          <w:rFonts w:hint="eastAsia" w:ascii="仿宋_GB2312" w:hAnsi="宋体" w:eastAsia="仿宋_GB2312" w:cs="仿宋_GB2312"/>
          <w:bCs/>
          <w:color w:val="000000"/>
          <w:kern w:val="0"/>
          <w:sz w:val="28"/>
          <w:szCs w:val="28"/>
          <w:lang w:val="en-US" w:eastAsia="zh-CN"/>
        </w:rPr>
        <w:t>A</w:t>
      </w:r>
      <w:r>
        <w:rPr>
          <w:rFonts w:hint="eastAsia" w:ascii="仿宋_GB2312" w:hAnsi="宋体" w:eastAsia="仿宋_GB2312" w:cs="仿宋_GB2312"/>
          <w:bCs/>
          <w:color w:val="000000"/>
          <w:kern w:val="0"/>
          <w:sz w:val="28"/>
          <w:szCs w:val="28"/>
        </w:rPr>
        <w:t>股证券账户：</w:t>
      </w:r>
    </w:p>
    <w:p w14:paraId="603738E7">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lang w:val="en-US" w:eastAsia="zh-CN"/>
        </w:rPr>
        <w:t>（1）</w:t>
      </w:r>
      <w:r>
        <w:rPr>
          <w:rFonts w:hint="eastAsia" w:ascii="仿宋_GB2312" w:hAnsi="宋体" w:eastAsia="仿宋_GB2312" w:cs="仿宋_GB2312"/>
          <w:bCs/>
          <w:color w:val="000000"/>
          <w:kern w:val="0"/>
          <w:sz w:val="28"/>
          <w:szCs w:val="28"/>
        </w:rPr>
        <w:t>若在本公司已有A股账户，核对通过；</w:t>
      </w:r>
    </w:p>
    <w:p w14:paraId="284B7F6F">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lang w:val="en-US" w:eastAsia="zh-CN"/>
        </w:rPr>
        <w:t>2</w:t>
      </w: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rPr>
        <w:t>若无本公司A股账户，需首先开立A股账户。</w:t>
      </w:r>
    </w:p>
    <w:p w14:paraId="34D2D9BF">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2.4核对托管资产。</w:t>
      </w:r>
    </w:p>
    <w:p w14:paraId="04FAE99A">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2.5核对相关业务人员的模拟交易经历。</w:t>
      </w:r>
    </w:p>
    <w:p w14:paraId="1E1E8425">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2.6核对相关业务人员的知识测试成绩。</w:t>
      </w:r>
    </w:p>
    <w:p w14:paraId="7631038F">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2.7审核其他相关信息。</w:t>
      </w:r>
    </w:p>
    <w:p w14:paraId="40D4E37E">
      <w:pPr>
        <w:ind w:firstLine="560" w:firstLineChars="200"/>
        <w:rPr>
          <w:rFonts w:ascii="Times New Roman" w:hAnsi="Times New Roman" w:eastAsia="仿宋_GB2312" w:cs="Times New Roman"/>
          <w:b w:val="0"/>
          <w:color w:val="auto"/>
          <w:kern w:val="2"/>
          <w:sz w:val="28"/>
          <w:szCs w:val="28"/>
        </w:rPr>
      </w:pPr>
      <w:r>
        <w:rPr>
          <w:rFonts w:hint="default" w:ascii="Times New Roman" w:hAnsi="Times New Roman" w:eastAsia="仿宋_GB2312" w:cs="Times New Roman"/>
          <w:b w:val="0"/>
          <w:color w:val="auto"/>
          <w:kern w:val="2"/>
          <w:sz w:val="28"/>
          <w:szCs w:val="28"/>
        </w:rPr>
        <w:t>3</w:t>
      </w:r>
      <w:r>
        <w:rPr>
          <w:rFonts w:hint="default" w:ascii="Times New Roman" w:hAnsi="Times New Roman" w:eastAsia="仿宋_GB2312" w:cs="Times New Roman"/>
          <w:b w:val="0"/>
          <w:color w:val="auto"/>
          <w:kern w:val="2"/>
          <w:sz w:val="28"/>
          <w:szCs w:val="28"/>
          <w:lang w:val="en-US" w:eastAsia="zh-CN"/>
        </w:rPr>
        <w:t>.</w:t>
      </w:r>
      <w:r>
        <w:rPr>
          <w:rFonts w:hint="default" w:ascii="Times New Roman" w:hAnsi="Times New Roman" w:eastAsia="仿宋_GB2312" w:cs="Times New Roman"/>
          <w:b w:val="0"/>
          <w:color w:val="auto"/>
          <w:kern w:val="2"/>
          <w:sz w:val="28"/>
          <w:szCs w:val="28"/>
        </w:rPr>
        <w:t>专业机构投资者资格初审</w:t>
      </w:r>
    </w:p>
    <w:p w14:paraId="50DB5ACA">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3.1核对相关监管机构出具的成立备案文件。</w:t>
      </w:r>
    </w:p>
    <w:p w14:paraId="1ACC2851">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3.2核对机构法人证明文件：原件与复印件一致性、年检有效期等信息。</w:t>
      </w:r>
    </w:p>
    <w:p w14:paraId="3C8126FC">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3.3核对机构投资者经办人身份信息和业务授权等材料。</w:t>
      </w:r>
    </w:p>
    <w:p w14:paraId="35D81293">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3.4核对上海证券交易所</w:t>
      </w:r>
      <w:r>
        <w:rPr>
          <w:rFonts w:hint="eastAsia" w:ascii="仿宋_GB2312" w:hAnsi="宋体" w:eastAsia="仿宋_GB2312" w:cs="仿宋_GB2312"/>
          <w:bCs/>
          <w:color w:val="000000"/>
          <w:kern w:val="0"/>
          <w:sz w:val="28"/>
          <w:szCs w:val="28"/>
          <w:lang w:val="en-US" w:eastAsia="zh-CN"/>
        </w:rPr>
        <w:t>A</w:t>
      </w:r>
      <w:r>
        <w:rPr>
          <w:rFonts w:hint="eastAsia" w:ascii="仿宋_GB2312" w:hAnsi="宋体" w:eastAsia="仿宋_GB2312" w:cs="仿宋_GB2312"/>
          <w:bCs/>
          <w:color w:val="000000"/>
          <w:kern w:val="0"/>
          <w:sz w:val="28"/>
          <w:szCs w:val="28"/>
        </w:rPr>
        <w:t>股证券账户：</w:t>
      </w:r>
    </w:p>
    <w:p w14:paraId="128E4354">
      <w:pPr>
        <w:ind w:firstLine="560" w:firstLineChars="200"/>
        <w:rPr>
          <w:rFonts w:ascii="仿宋_GB2312" w:hAnsi="宋体" w:eastAsia="仿宋_GB2312" w:cs="仿宋_GB2312"/>
          <w:bCs/>
          <w:color w:val="000000"/>
          <w:kern w:val="0"/>
          <w:sz w:val="28"/>
          <w:szCs w:val="28"/>
        </w:rPr>
      </w:pPr>
      <w:r>
        <w:rPr>
          <w:rFonts w:ascii="仿宋_GB2312" w:hAnsi="宋体" w:eastAsia="仿宋_GB2312" w:cs="仿宋_GB2312"/>
          <w:bCs/>
          <w:color w:val="000000"/>
          <w:kern w:val="0"/>
          <w:sz w:val="28"/>
          <w:szCs w:val="28"/>
        </w:rPr>
        <w:t>采用托管人结算模式</w:t>
      </w:r>
      <w:r>
        <w:rPr>
          <w:rFonts w:hint="eastAsia" w:ascii="仿宋_GB2312" w:hAnsi="宋体" w:eastAsia="仿宋_GB2312" w:cs="仿宋_GB2312"/>
          <w:bCs/>
          <w:color w:val="000000"/>
          <w:kern w:val="0"/>
          <w:sz w:val="28"/>
          <w:szCs w:val="28"/>
        </w:rPr>
        <w:t>特殊机构和</w:t>
      </w:r>
      <w:r>
        <w:rPr>
          <w:rFonts w:ascii="仿宋_GB2312" w:hAnsi="宋体" w:eastAsia="仿宋_GB2312" w:cs="仿宋_GB2312"/>
          <w:bCs/>
          <w:color w:val="000000"/>
          <w:kern w:val="0"/>
          <w:sz w:val="28"/>
          <w:szCs w:val="28"/>
        </w:rPr>
        <w:t>产品，</w:t>
      </w:r>
      <w:r>
        <w:rPr>
          <w:rFonts w:hint="eastAsia" w:ascii="仿宋_GB2312" w:hAnsi="宋体" w:eastAsia="仿宋_GB2312" w:cs="仿宋_GB2312"/>
          <w:bCs/>
          <w:color w:val="000000"/>
          <w:kern w:val="0"/>
          <w:sz w:val="28"/>
          <w:szCs w:val="28"/>
        </w:rPr>
        <w:t>如需参加</w:t>
      </w:r>
      <w:r>
        <w:rPr>
          <w:rFonts w:hint="eastAsia" w:ascii="仿宋_GB2312" w:hAnsi="宋体" w:eastAsia="仿宋_GB2312" w:cs="仿宋_GB2312"/>
          <w:bCs/>
          <w:color w:val="000000"/>
          <w:kern w:val="0"/>
          <w:sz w:val="28"/>
          <w:szCs w:val="28"/>
          <w:lang w:eastAsia="zh-CN"/>
        </w:rPr>
        <w:t>股票</w:t>
      </w:r>
      <w:r>
        <w:rPr>
          <w:rFonts w:hint="eastAsia" w:ascii="仿宋_GB2312" w:hAnsi="宋体" w:eastAsia="仿宋_GB2312" w:cs="仿宋_GB2312"/>
          <w:bCs/>
          <w:color w:val="000000"/>
          <w:kern w:val="0"/>
          <w:sz w:val="28"/>
          <w:szCs w:val="28"/>
        </w:rPr>
        <w:t>期权交易，</w:t>
      </w:r>
      <w:r>
        <w:rPr>
          <w:rFonts w:ascii="仿宋_GB2312" w:hAnsi="宋体" w:eastAsia="仿宋_GB2312" w:cs="仿宋_GB2312"/>
          <w:bCs/>
          <w:color w:val="000000"/>
          <w:kern w:val="0"/>
          <w:sz w:val="28"/>
          <w:szCs w:val="28"/>
        </w:rPr>
        <w:t>应当按照现有证券账户开立方式向中国结算申请新开立一个普通证券账户，并将该证券账户指定交易在</w:t>
      </w:r>
      <w:r>
        <w:rPr>
          <w:rFonts w:hint="eastAsia" w:ascii="仿宋_GB2312" w:hAnsi="宋体" w:eastAsia="仿宋_GB2312" w:cs="仿宋_GB2312"/>
          <w:bCs/>
          <w:color w:val="000000"/>
          <w:kern w:val="0"/>
          <w:sz w:val="28"/>
          <w:szCs w:val="28"/>
        </w:rPr>
        <w:t>开户期货</w:t>
      </w:r>
      <w:r>
        <w:rPr>
          <w:rFonts w:ascii="仿宋_GB2312" w:hAnsi="宋体" w:eastAsia="仿宋_GB2312" w:cs="仿宋_GB2312"/>
          <w:bCs/>
          <w:color w:val="000000"/>
          <w:kern w:val="0"/>
          <w:sz w:val="28"/>
          <w:szCs w:val="28"/>
        </w:rPr>
        <w:t>公司，</w:t>
      </w:r>
      <w:r>
        <w:rPr>
          <w:rFonts w:hint="eastAsia" w:ascii="仿宋_GB2312" w:hAnsi="宋体" w:eastAsia="仿宋_GB2312" w:cs="仿宋_GB2312"/>
          <w:bCs/>
          <w:color w:val="000000"/>
          <w:kern w:val="0"/>
          <w:sz w:val="28"/>
          <w:szCs w:val="28"/>
        </w:rPr>
        <w:t>由期货公司为其进行</w:t>
      </w:r>
      <w:r>
        <w:rPr>
          <w:rFonts w:ascii="仿宋_GB2312" w:hAnsi="宋体" w:eastAsia="仿宋_GB2312" w:cs="仿宋_GB2312"/>
          <w:bCs/>
          <w:color w:val="000000"/>
          <w:kern w:val="0"/>
          <w:sz w:val="28"/>
          <w:szCs w:val="28"/>
        </w:rPr>
        <w:t>衍生品合约账户</w:t>
      </w:r>
      <w:r>
        <w:rPr>
          <w:rFonts w:hint="eastAsia" w:ascii="仿宋_GB2312" w:hAnsi="宋体" w:eastAsia="仿宋_GB2312" w:cs="仿宋_GB2312"/>
          <w:bCs/>
          <w:color w:val="000000"/>
          <w:kern w:val="0"/>
          <w:sz w:val="28"/>
          <w:szCs w:val="28"/>
        </w:rPr>
        <w:t>配号。</w:t>
      </w:r>
    </w:p>
    <w:p w14:paraId="255C0FDF">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lang w:val="en-US" w:eastAsia="zh-CN"/>
        </w:rPr>
        <w:t>1</w:t>
      </w: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rPr>
        <w:t>若在本公司已有A股账户，核对通过；</w:t>
      </w:r>
    </w:p>
    <w:p w14:paraId="6A744151">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lang w:val="en-US" w:eastAsia="zh-CN"/>
        </w:rPr>
        <w:t>2</w:t>
      </w:r>
      <w:r>
        <w:rPr>
          <w:rFonts w:hint="eastAsia" w:ascii="仿宋_GB2312" w:hAnsi="宋体" w:eastAsia="仿宋_GB2312" w:cs="仿宋_GB2312"/>
          <w:bCs/>
          <w:color w:val="000000"/>
          <w:kern w:val="0"/>
          <w:sz w:val="28"/>
          <w:szCs w:val="28"/>
          <w:lang w:eastAsia="zh-CN"/>
        </w:rPr>
        <w:t>）</w:t>
      </w:r>
      <w:r>
        <w:rPr>
          <w:rFonts w:hint="eastAsia" w:ascii="仿宋_GB2312" w:hAnsi="宋体" w:eastAsia="仿宋_GB2312" w:cs="仿宋_GB2312"/>
          <w:bCs/>
          <w:color w:val="000000"/>
          <w:kern w:val="0"/>
          <w:sz w:val="28"/>
          <w:szCs w:val="28"/>
        </w:rPr>
        <w:t>若无本公司A股账户，需首先开立A股账户。</w:t>
      </w:r>
    </w:p>
    <w:p w14:paraId="43CA80C8">
      <w:pPr>
        <w:ind w:firstLine="560" w:firstLineChars="200"/>
        <w:rPr>
          <w:rFonts w:ascii="Times New Roman" w:hAnsi="Times New Roman" w:eastAsia="仿宋_GB2312" w:cs="Times New Roman"/>
          <w:b w:val="0"/>
          <w:color w:val="auto"/>
          <w:kern w:val="2"/>
          <w:sz w:val="28"/>
          <w:szCs w:val="28"/>
        </w:rPr>
      </w:pPr>
      <w:r>
        <w:rPr>
          <w:rFonts w:hint="default" w:ascii="Times New Roman" w:hAnsi="Times New Roman" w:eastAsia="仿宋_GB2312" w:cs="Times New Roman"/>
          <w:b w:val="0"/>
          <w:color w:val="auto"/>
          <w:kern w:val="2"/>
          <w:sz w:val="28"/>
          <w:szCs w:val="28"/>
          <w:lang w:val="en-US" w:eastAsia="zh-CN"/>
        </w:rPr>
        <w:t>4.</w:t>
      </w:r>
      <w:r>
        <w:rPr>
          <w:rFonts w:hint="default" w:ascii="Times New Roman" w:hAnsi="Times New Roman" w:eastAsia="仿宋_GB2312" w:cs="Times New Roman"/>
          <w:b w:val="0"/>
          <w:color w:val="auto"/>
          <w:kern w:val="2"/>
          <w:sz w:val="28"/>
          <w:szCs w:val="28"/>
        </w:rPr>
        <w:t>开户程序</w:t>
      </w:r>
    </w:p>
    <w:p w14:paraId="741A5C1A">
      <w:pPr>
        <w:ind w:firstLine="560" w:firstLineChars="200"/>
        <w:jc w:val="left"/>
        <w:rPr>
          <w:rFonts w:ascii="仿宋_GB2312" w:hAnsi="宋体" w:eastAsia="仿宋_GB2312"/>
          <w:color w:val="000000"/>
          <w:kern w:val="0"/>
          <w:sz w:val="28"/>
          <w:szCs w:val="28"/>
        </w:rPr>
      </w:pPr>
      <w:r>
        <w:rPr>
          <w:rFonts w:hint="eastAsia" w:ascii="仿宋_GB2312" w:hAnsi="宋体" w:eastAsia="仿宋_GB2312" w:cs="仿宋_GB2312"/>
          <w:bCs/>
          <w:color w:val="000000"/>
          <w:kern w:val="0"/>
          <w:sz w:val="28"/>
          <w:szCs w:val="28"/>
        </w:rPr>
        <w:t>4.1普通机构投资者签署风险揭示书。</w:t>
      </w:r>
      <w:r>
        <w:rPr>
          <w:rFonts w:hint="eastAsia" w:ascii="仿宋_GB2312" w:hAnsi="宋体" w:eastAsia="仿宋_GB2312"/>
          <w:color w:val="000000"/>
          <w:kern w:val="0"/>
          <w:sz w:val="28"/>
          <w:szCs w:val="28"/>
        </w:rPr>
        <w:t>开户人按风险揭示书要求抄写或朗读承诺并签名，期货公司对开户人抄写或朗读承诺文字的过程进行拍照或录像存档。</w:t>
      </w:r>
    </w:p>
    <w:p w14:paraId="06C7FD3B">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4.2机构投资者签署经纪合同。</w:t>
      </w:r>
    </w:p>
    <w:p w14:paraId="77E766B5">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4.3公司总部审核。</w:t>
      </w:r>
    </w:p>
    <w:p w14:paraId="59DA6BE0">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4.4审核与开户结果反馈，通知客户办理银衍签约。</w:t>
      </w:r>
    </w:p>
    <w:p w14:paraId="686050A8">
      <w:pPr>
        <w:ind w:firstLine="560" w:firstLineChars="200"/>
        <w:rPr>
          <w:rFonts w:ascii="Times New Roman" w:hAnsi="Times New Roman" w:eastAsia="楷体_GB2312" w:cs="Times New Roman"/>
          <w:b w:val="0"/>
          <w:color w:val="auto"/>
          <w:kern w:val="2"/>
          <w:sz w:val="28"/>
          <w:szCs w:val="28"/>
        </w:rPr>
      </w:pPr>
      <w:r>
        <w:rPr>
          <w:rFonts w:hint="default" w:ascii="Times New Roman" w:hAnsi="Times New Roman" w:eastAsia="楷体_GB2312" w:cs="Times New Roman"/>
          <w:b w:val="0"/>
          <w:color w:val="auto"/>
          <w:kern w:val="2"/>
          <w:sz w:val="28"/>
          <w:szCs w:val="28"/>
        </w:rPr>
        <w:t>（三）客户开立多个衍生品账户</w:t>
      </w:r>
    </w:p>
    <w:p w14:paraId="05DE8342">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符合股票期权投资者适当性管理相关要求的投资者（含个人投资者、机构投资者以及期权经营机构自营业务），可以</w:t>
      </w:r>
      <w:r>
        <w:rPr>
          <w:rFonts w:hint="default" w:ascii="Times New Roman" w:hAnsi="Times New Roman" w:eastAsia="仿宋_GB2312" w:cs="Times New Roman"/>
          <w:sz w:val="28"/>
          <w:szCs w:val="28"/>
        </w:rPr>
        <w:t>根据中国结算相关规定</w:t>
      </w:r>
      <w:r>
        <w:rPr>
          <w:rFonts w:hint="eastAsia" w:ascii="仿宋_GB2312" w:hAnsi="宋体" w:eastAsia="仿宋_GB2312" w:cs="仿宋_GB2312"/>
          <w:bCs/>
          <w:color w:val="000000"/>
          <w:kern w:val="0"/>
          <w:sz w:val="28"/>
          <w:szCs w:val="28"/>
        </w:rPr>
        <w:t>同时开立多个合约账户进行股票期权交易。根据衍生品合约账户与证券账户一一对应的原则，个人和机构投资者（不含自营）在一家期权经营机构只能开立一个合约账户。</w:t>
      </w:r>
    </w:p>
    <w:p w14:paraId="4B58E9CE">
      <w:pPr>
        <w:ind w:firstLine="560" w:firstLineChars="200"/>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投资者开立非首个</w:t>
      </w:r>
      <w:r>
        <w:rPr>
          <w:rFonts w:hint="eastAsia" w:ascii="仿宋_GB2312" w:hAnsi="宋体" w:eastAsia="仿宋_GB2312" w:cs="仿宋_GB2312"/>
          <w:bCs/>
          <w:color w:val="000000"/>
          <w:kern w:val="0"/>
          <w:sz w:val="28"/>
          <w:szCs w:val="28"/>
          <w:lang w:eastAsia="zh-CN"/>
        </w:rPr>
        <w:t>股票</w:t>
      </w:r>
      <w:r>
        <w:rPr>
          <w:rFonts w:hint="eastAsia" w:ascii="仿宋_GB2312" w:hAnsi="宋体" w:eastAsia="仿宋_GB2312" w:cs="仿宋_GB2312"/>
          <w:bCs/>
          <w:color w:val="000000"/>
          <w:kern w:val="0"/>
          <w:sz w:val="28"/>
          <w:szCs w:val="28"/>
        </w:rPr>
        <w:t>期权合约账户时，在提供已开立的首个合约账户相关凭证或交易记录的情况下，只需执行以下投资者适当性评估要求，无需再对投资者的交易经历、知识测试成绩、</w:t>
      </w:r>
      <w:r>
        <w:rPr>
          <w:rFonts w:hint="eastAsia" w:ascii="仿宋_GB2312" w:hAnsi="宋体" w:eastAsia="仿宋_GB2312" w:cs="仿宋_GB2312"/>
          <w:bCs/>
          <w:color w:val="000000"/>
          <w:kern w:val="0"/>
          <w:sz w:val="28"/>
          <w:szCs w:val="28"/>
          <w:lang w:eastAsia="zh-CN"/>
        </w:rPr>
        <w:t>股票</w:t>
      </w:r>
      <w:r>
        <w:rPr>
          <w:rFonts w:hint="eastAsia" w:ascii="仿宋_GB2312" w:hAnsi="宋体" w:eastAsia="仿宋_GB2312" w:cs="仿宋_GB2312"/>
          <w:bCs/>
          <w:color w:val="000000"/>
          <w:kern w:val="0"/>
          <w:sz w:val="28"/>
          <w:szCs w:val="28"/>
        </w:rPr>
        <w:t>期权模拟交易经历进行核查：</w:t>
      </w:r>
    </w:p>
    <w:p w14:paraId="02058ED6">
      <w:pPr>
        <w:ind w:firstLine="565" w:firstLineChars="202"/>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 xml:space="preserve">  </w:t>
      </w:r>
      <w:r>
        <w:rPr>
          <w:rFonts w:hint="eastAsia" w:ascii="仿宋_GB2312" w:hAnsi="宋体" w:eastAsia="仿宋_GB2312" w:cs="仿宋_GB2312"/>
          <w:bCs/>
          <w:color w:val="000000"/>
          <w:kern w:val="0"/>
          <w:sz w:val="28"/>
          <w:szCs w:val="28"/>
          <w:lang w:val="en-US" w:eastAsia="zh-CN"/>
        </w:rPr>
        <w:t>1.</w:t>
      </w:r>
      <w:r>
        <w:rPr>
          <w:rFonts w:hint="eastAsia" w:ascii="仿宋_GB2312" w:hAnsi="宋体" w:eastAsia="仿宋_GB2312" w:cs="仿宋_GB2312"/>
          <w:bCs/>
          <w:color w:val="000000"/>
          <w:kern w:val="0"/>
          <w:sz w:val="28"/>
          <w:szCs w:val="28"/>
        </w:rPr>
        <w:t>个人投资者</w:t>
      </w:r>
    </w:p>
    <w:p w14:paraId="6775EA61">
      <w:pPr>
        <w:ind w:firstLine="565" w:firstLineChars="202"/>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 xml:space="preserve"> （1）</w:t>
      </w:r>
      <w:r>
        <w:rPr>
          <w:rFonts w:hint="eastAsia" w:ascii="仿宋_GB2312" w:hAnsi="宋体" w:eastAsia="仿宋_GB2312"/>
          <w:sz w:val="28"/>
          <w:szCs w:val="28"/>
        </w:rPr>
        <w:t>申请开户时托管在其委托的期权经营机构的证券市值与资金账户可用余额（不含通过融资融券交易融入的资金或证券），合计不低于人民币50万元</w:t>
      </w:r>
      <w:r>
        <w:rPr>
          <w:rFonts w:hint="eastAsia" w:ascii="仿宋_GB2312" w:hAnsi="宋体" w:eastAsia="仿宋_GB2312" w:cs="仿宋_GB2312"/>
          <w:bCs/>
          <w:color w:val="000000"/>
          <w:kern w:val="0"/>
          <w:sz w:val="28"/>
          <w:szCs w:val="28"/>
        </w:rPr>
        <w:t>；</w:t>
      </w:r>
    </w:p>
    <w:p w14:paraId="2E77DD5C">
      <w:pPr>
        <w:ind w:firstLine="565" w:firstLineChars="202"/>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 xml:space="preserve"> （2）通过本公司的风险承受能力评估。本公司1年内对该投资者进行过风险评估的，可不重做评估。</w:t>
      </w:r>
    </w:p>
    <w:p w14:paraId="795DEF7B">
      <w:pPr>
        <w:ind w:firstLine="565" w:firstLineChars="202"/>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lang w:val="en-US" w:eastAsia="zh-CN"/>
        </w:rPr>
        <w:t>2.</w:t>
      </w:r>
      <w:r>
        <w:rPr>
          <w:rFonts w:hint="eastAsia" w:ascii="仿宋_GB2312" w:hAnsi="宋体" w:eastAsia="仿宋_GB2312" w:cs="仿宋_GB2312"/>
          <w:bCs/>
          <w:color w:val="000000"/>
          <w:kern w:val="0"/>
          <w:sz w:val="28"/>
          <w:szCs w:val="28"/>
        </w:rPr>
        <w:t>普通机构投资者</w:t>
      </w:r>
    </w:p>
    <w:p w14:paraId="6B44AA10">
      <w:pPr>
        <w:ind w:firstLine="565" w:firstLineChars="202"/>
        <w:rPr>
          <w:rFonts w:ascii="仿宋_GB2312" w:hAnsi="宋体" w:eastAsia="仿宋_GB2312" w:cs="仿宋_GB2312"/>
          <w:bCs/>
          <w:color w:val="000000"/>
          <w:kern w:val="0"/>
          <w:sz w:val="28"/>
          <w:szCs w:val="28"/>
        </w:rPr>
      </w:pPr>
      <w:r>
        <w:rPr>
          <w:rFonts w:hint="eastAsia" w:ascii="仿宋_GB2312" w:hAnsi="宋体" w:eastAsia="仿宋_GB2312" w:cs="仿宋_GB2312"/>
          <w:bCs/>
          <w:color w:val="000000"/>
          <w:kern w:val="0"/>
          <w:sz w:val="28"/>
          <w:szCs w:val="28"/>
        </w:rPr>
        <w:t>（1）</w:t>
      </w:r>
      <w:r>
        <w:rPr>
          <w:rFonts w:hint="eastAsia" w:ascii="仿宋_GB2312" w:hAnsi="宋体" w:eastAsia="仿宋_GB2312"/>
          <w:sz w:val="28"/>
          <w:szCs w:val="28"/>
        </w:rPr>
        <w:t>申请开户时托管在其委托的期权经营机构的证券市值与资金账户可用余额（不含通过融资融券交易融入的资金或证券），合计不低于人民币</w:t>
      </w:r>
      <w:r>
        <w:rPr>
          <w:rFonts w:hint="eastAsia" w:ascii="仿宋_GB2312" w:hAnsi="宋体" w:eastAsia="仿宋_GB2312" w:cs="仿宋_GB2312"/>
          <w:bCs/>
          <w:color w:val="000000"/>
          <w:kern w:val="0"/>
          <w:sz w:val="28"/>
          <w:szCs w:val="28"/>
        </w:rPr>
        <w:t>100万元；</w:t>
      </w:r>
    </w:p>
    <w:p w14:paraId="2D625204">
      <w:pPr>
        <w:ind w:firstLine="565" w:firstLineChars="202"/>
        <w:rPr>
          <w:rFonts w:ascii="仿宋_GB2312" w:hAnsi="宋体" w:eastAsia="仿宋_GB2312" w:cs="仿宋_GB2312"/>
          <w:b/>
          <w:color w:val="000000"/>
          <w:kern w:val="0"/>
          <w:sz w:val="28"/>
          <w:szCs w:val="28"/>
        </w:rPr>
      </w:pPr>
      <w:r>
        <w:rPr>
          <w:rFonts w:hint="eastAsia" w:ascii="仿宋_GB2312" w:hAnsi="宋体" w:eastAsia="仿宋_GB2312" w:cs="仿宋_GB2312"/>
          <w:bCs/>
          <w:color w:val="000000"/>
          <w:kern w:val="0"/>
          <w:sz w:val="28"/>
          <w:szCs w:val="28"/>
        </w:rPr>
        <w:t>（2）</w:t>
      </w:r>
      <w:r>
        <w:rPr>
          <w:rFonts w:hint="eastAsia" w:ascii="仿宋_GB2312" w:eastAsia="仿宋_GB2312"/>
          <w:color w:val="000000"/>
          <w:sz w:val="28"/>
          <w:szCs w:val="28"/>
        </w:rPr>
        <w:t>上一季度末净资产不低于人民币100万元</w:t>
      </w:r>
      <w:r>
        <w:rPr>
          <w:rFonts w:hint="eastAsia" w:ascii="仿宋_GB2312" w:hAnsi="宋体" w:eastAsia="仿宋_GB2312"/>
          <w:sz w:val="28"/>
          <w:szCs w:val="28"/>
        </w:rPr>
        <w:t>（新成立的机构取最近净资产）</w:t>
      </w:r>
      <w:r>
        <w:rPr>
          <w:rFonts w:hint="eastAsia" w:ascii="仿宋_GB2312" w:eastAsia="仿宋_GB2312"/>
          <w:color w:val="000000"/>
          <w:sz w:val="28"/>
          <w:szCs w:val="28"/>
        </w:rPr>
        <w:t>。</w:t>
      </w:r>
    </w:p>
    <w:p w14:paraId="41E1FD37">
      <w:pPr>
        <w:ind w:firstLine="560" w:firstLineChars="200"/>
        <w:rPr>
          <w:rFonts w:ascii="Times New Roman" w:hAnsi="Times New Roman" w:eastAsia="楷体_GB2312" w:cs="Times New Roman"/>
          <w:b w:val="0"/>
          <w:sz w:val="28"/>
          <w:szCs w:val="28"/>
        </w:rPr>
      </w:pPr>
      <w:r>
        <w:rPr>
          <w:rFonts w:hint="default" w:ascii="Times New Roman" w:hAnsi="Times New Roman" w:eastAsia="楷体_GB2312" w:cs="Times New Roman"/>
          <w:b w:val="0"/>
          <w:sz w:val="28"/>
          <w:szCs w:val="28"/>
        </w:rPr>
        <w:t>（四）客户资料的修改</w:t>
      </w:r>
    </w:p>
    <w:p w14:paraId="508C63C2">
      <w:pPr>
        <w:ind w:firstLine="560" w:firstLineChars="200"/>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客户资料修改业务包括客户信息资料修改、交易权限修改、持仓限额修改、密码重置等。账户资料修改应符合相关规定，并留痕。</w:t>
      </w:r>
    </w:p>
    <w:p w14:paraId="447C5FA3">
      <w:pPr>
        <w:ind w:firstLine="560" w:firstLineChars="200"/>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客户信息资料及密码的修改等操作应严格遵循期货公司内部操作流程。客户交易权限及持仓限额的修改，由分支机构进行初步审查、复核后提交至总部审核。</w:t>
      </w:r>
    </w:p>
    <w:p w14:paraId="7C4DAC8A">
      <w:pPr>
        <w:ind w:firstLine="560" w:firstLineChars="200"/>
        <w:rPr>
          <w:rFonts w:ascii="Times New Roman" w:hAnsi="Times New Roman" w:eastAsia="楷体_GB2312" w:cs="Times New Roman"/>
          <w:b w:val="0"/>
          <w:sz w:val="28"/>
          <w:szCs w:val="28"/>
        </w:rPr>
      </w:pPr>
      <w:r>
        <w:rPr>
          <w:rFonts w:hint="default" w:ascii="Times New Roman" w:hAnsi="Times New Roman" w:eastAsia="楷体_GB2312" w:cs="Times New Roman"/>
          <w:b w:val="0"/>
          <w:sz w:val="28"/>
          <w:szCs w:val="28"/>
        </w:rPr>
        <w:t>（五）客户衍生品合约账户销户</w:t>
      </w:r>
    </w:p>
    <w:p w14:paraId="6A375D1E">
      <w:pPr>
        <w:ind w:firstLine="560" w:firstLineChars="200"/>
        <w:jc w:val="left"/>
        <w:rPr>
          <w:rFonts w:ascii="仿宋_GB2312" w:eastAsia="仿宋_GB2312" w:cs="仿宋_GB2312"/>
          <w:sz w:val="28"/>
          <w:szCs w:val="28"/>
        </w:rPr>
      </w:pPr>
      <w:r>
        <w:rPr>
          <w:rFonts w:hint="eastAsia" w:ascii="仿宋_GB2312" w:hAnsi="宋体" w:eastAsia="仿宋_GB2312" w:cs="仿宋_GB2312"/>
          <w:color w:val="000000"/>
          <w:kern w:val="0"/>
          <w:sz w:val="28"/>
          <w:szCs w:val="28"/>
        </w:rPr>
        <w:t>衍生品合约账户销户业务须</w:t>
      </w:r>
      <w:r>
        <w:rPr>
          <w:rFonts w:hint="eastAsia" w:ascii="仿宋_GB2312" w:eastAsia="仿宋_GB2312" w:cs="仿宋_GB2312"/>
          <w:sz w:val="28"/>
          <w:szCs w:val="28"/>
        </w:rPr>
        <w:t>由客户本人按以下顺序办理：</w:t>
      </w:r>
    </w:p>
    <w:p w14:paraId="631628DC">
      <w:pPr>
        <w:ind w:firstLine="560" w:firstLineChars="200"/>
        <w:jc w:val="left"/>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lang w:val="en-US" w:eastAsia="zh-CN"/>
        </w:rPr>
        <w:t>1.</w:t>
      </w:r>
      <w:r>
        <w:rPr>
          <w:rFonts w:hint="eastAsia" w:ascii="仿宋_GB2312" w:hAnsi="宋体" w:eastAsia="仿宋_GB2312" w:cs="仿宋_GB2312"/>
          <w:color w:val="000000"/>
          <w:kern w:val="0"/>
          <w:sz w:val="28"/>
          <w:szCs w:val="28"/>
        </w:rPr>
        <w:t>注销衍生品合约账户；</w:t>
      </w:r>
    </w:p>
    <w:p w14:paraId="5098506F">
      <w:pPr>
        <w:ind w:firstLine="560" w:firstLineChars="200"/>
        <w:jc w:val="left"/>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lang w:val="en-US" w:eastAsia="zh-CN"/>
        </w:rPr>
        <w:t>2.</w:t>
      </w:r>
      <w:r>
        <w:rPr>
          <w:rFonts w:hint="eastAsia" w:ascii="仿宋_GB2312" w:hAnsi="宋体" w:eastAsia="仿宋_GB2312" w:cs="仿宋_GB2312"/>
          <w:color w:val="000000"/>
          <w:kern w:val="0"/>
          <w:sz w:val="28"/>
          <w:szCs w:val="28"/>
        </w:rPr>
        <w:t>撤销银衍转账；</w:t>
      </w:r>
    </w:p>
    <w:p w14:paraId="56EEDC1F">
      <w:pPr>
        <w:ind w:firstLine="560" w:firstLineChars="200"/>
        <w:jc w:val="left"/>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lang w:val="en-US" w:eastAsia="zh-CN"/>
        </w:rPr>
        <w:t>3.</w:t>
      </w:r>
      <w:r>
        <w:rPr>
          <w:rFonts w:hint="eastAsia" w:ascii="仿宋_GB2312" w:hAnsi="宋体" w:eastAsia="仿宋_GB2312" w:cs="仿宋_GB2312"/>
          <w:color w:val="000000"/>
          <w:kern w:val="0"/>
          <w:sz w:val="28"/>
          <w:szCs w:val="28"/>
        </w:rPr>
        <w:t>注销股票期权保证金账户。</w:t>
      </w:r>
    </w:p>
    <w:p w14:paraId="427BCD52">
      <w:pPr>
        <w:ind w:firstLine="560" w:firstLineChars="200"/>
        <w:jc w:val="left"/>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rPr>
        <w:t>期货公司确认投资者合约账户内没有持仓及未了结债权债务</w:t>
      </w:r>
      <w:r>
        <w:rPr>
          <w:rFonts w:hint="eastAsia" w:ascii="仿宋_GB2312" w:hAnsi="宋体" w:eastAsia="仿宋_GB2312" w:cs="仿宋_GB2312"/>
          <w:color w:val="000000"/>
          <w:sz w:val="28"/>
          <w:szCs w:val="28"/>
          <w:lang w:eastAsia="zh-CN"/>
        </w:rPr>
        <w:t>，</w:t>
      </w:r>
      <w:r>
        <w:rPr>
          <w:rFonts w:hint="default" w:ascii="Times New Roman" w:hAnsi="Times New Roman" w:eastAsia="仿宋_GB2312"/>
          <w:color w:val="auto"/>
          <w:sz w:val="28"/>
          <w:szCs w:val="28"/>
          <w:highlight w:val="none"/>
        </w:rPr>
        <w:t>不存在存续有效的或正在向交易所申请中的特殊持仓限额后</w:t>
      </w:r>
      <w:r>
        <w:rPr>
          <w:rFonts w:hint="eastAsia" w:ascii="仿宋_GB2312" w:hAnsi="宋体" w:eastAsia="仿宋_GB2312" w:cs="仿宋_GB2312"/>
          <w:color w:val="000000"/>
          <w:sz w:val="28"/>
          <w:szCs w:val="28"/>
        </w:rPr>
        <w:t>，方可办理投资者合约账户销户。投资者合约账户销户后方可办理对应证券账户的撤销指定交易和销户。</w:t>
      </w:r>
    </w:p>
    <w:p w14:paraId="39002D28">
      <w:pPr>
        <w:ind w:firstLine="560" w:firstLineChars="200"/>
        <w:jc w:val="left"/>
        <w:rPr>
          <w:rFonts w:hint="eastAsia" w:ascii="仿宋_GB2312" w:hAnsi="宋体" w:eastAsia="仿宋_GB2312" w:cs="仿宋_GB2312"/>
          <w:color w:val="000000"/>
          <w:sz w:val="28"/>
          <w:szCs w:val="28"/>
        </w:rPr>
      </w:pPr>
    </w:p>
    <w:p w14:paraId="5911EF97">
      <w:pPr>
        <w:ind w:firstLine="560" w:firstLineChars="200"/>
        <w:jc w:val="left"/>
        <w:rPr>
          <w:rFonts w:hint="eastAsia" w:ascii="仿宋_GB2312" w:hAnsi="宋体" w:eastAsia="仿宋_GB2312" w:cs="仿宋_GB2312"/>
          <w:color w:val="000000"/>
          <w:sz w:val="28"/>
          <w:szCs w:val="28"/>
        </w:rPr>
      </w:pPr>
    </w:p>
    <w:p w14:paraId="25B18FE8">
      <w:pPr>
        <w:ind w:firstLine="560" w:firstLineChars="200"/>
        <w:jc w:val="left"/>
        <w:rPr>
          <w:rFonts w:hint="eastAsia" w:ascii="仿宋_GB2312" w:hAnsi="宋体" w:eastAsia="仿宋_GB2312" w:cs="仿宋_GB2312"/>
          <w:color w:val="000000"/>
          <w:sz w:val="28"/>
          <w:szCs w:val="28"/>
        </w:rPr>
      </w:pPr>
    </w:p>
    <w:p w14:paraId="12B70359">
      <w:pPr>
        <w:ind w:firstLine="560" w:firstLineChars="200"/>
        <w:jc w:val="left"/>
        <w:rPr>
          <w:rFonts w:hint="eastAsia" w:ascii="仿宋_GB2312" w:hAnsi="宋体" w:eastAsia="仿宋_GB2312" w:cs="仿宋_GB2312"/>
          <w:color w:val="000000"/>
          <w:sz w:val="28"/>
          <w:szCs w:val="28"/>
        </w:rPr>
      </w:pPr>
    </w:p>
    <w:p w14:paraId="734BA8A3">
      <w:pPr>
        <w:ind w:firstLine="560" w:firstLineChars="200"/>
        <w:jc w:val="left"/>
        <w:rPr>
          <w:rFonts w:hint="eastAsia" w:ascii="仿宋_GB2312" w:hAnsi="宋体" w:eastAsia="仿宋_GB2312" w:cs="仿宋_GB2312"/>
          <w:color w:val="000000"/>
          <w:sz w:val="28"/>
          <w:szCs w:val="28"/>
        </w:rPr>
      </w:pPr>
    </w:p>
    <w:p w14:paraId="397F9B69">
      <w:pPr>
        <w:ind w:firstLine="560" w:firstLineChars="200"/>
        <w:jc w:val="left"/>
        <w:rPr>
          <w:rFonts w:hint="eastAsia" w:ascii="仿宋_GB2312" w:hAnsi="宋体" w:eastAsia="仿宋_GB2312" w:cs="仿宋_GB2312"/>
          <w:color w:val="000000"/>
          <w:sz w:val="28"/>
          <w:szCs w:val="28"/>
        </w:rPr>
      </w:pPr>
    </w:p>
    <w:p w14:paraId="0DA39109">
      <w:pPr>
        <w:ind w:firstLine="560" w:firstLineChars="200"/>
        <w:jc w:val="left"/>
        <w:rPr>
          <w:rFonts w:hint="eastAsia" w:ascii="仿宋_GB2312" w:hAnsi="宋体" w:eastAsia="仿宋_GB2312" w:cs="仿宋_GB2312"/>
          <w:color w:val="000000"/>
          <w:sz w:val="28"/>
          <w:szCs w:val="28"/>
        </w:rPr>
      </w:pPr>
    </w:p>
    <w:p w14:paraId="45CAFE70">
      <w:pPr>
        <w:ind w:firstLine="560" w:firstLineChars="200"/>
        <w:jc w:val="left"/>
        <w:rPr>
          <w:rFonts w:hint="eastAsia" w:ascii="仿宋_GB2312" w:hAnsi="宋体" w:eastAsia="仿宋_GB2312" w:cs="仿宋_GB2312"/>
          <w:color w:val="000000"/>
          <w:sz w:val="28"/>
          <w:szCs w:val="28"/>
        </w:rPr>
      </w:pPr>
    </w:p>
    <w:p w14:paraId="4A618060">
      <w:pPr>
        <w:ind w:firstLine="560" w:firstLineChars="200"/>
        <w:jc w:val="left"/>
        <w:rPr>
          <w:rFonts w:hint="eastAsia" w:ascii="仿宋_GB2312" w:hAnsi="宋体" w:eastAsia="仿宋_GB2312" w:cs="仿宋_GB2312"/>
          <w:color w:val="000000"/>
          <w:sz w:val="28"/>
          <w:szCs w:val="28"/>
        </w:rPr>
      </w:pPr>
    </w:p>
    <w:p w14:paraId="3E2D396B">
      <w:pPr>
        <w:ind w:firstLine="560" w:firstLineChars="200"/>
        <w:jc w:val="left"/>
        <w:rPr>
          <w:rFonts w:hint="eastAsia" w:ascii="仿宋_GB2312" w:hAnsi="宋体" w:eastAsia="仿宋_GB2312" w:cs="仿宋_GB2312"/>
          <w:color w:val="000000"/>
          <w:sz w:val="28"/>
          <w:szCs w:val="28"/>
        </w:rPr>
      </w:pPr>
    </w:p>
    <w:p w14:paraId="40A91929">
      <w:pPr>
        <w:ind w:firstLine="560" w:firstLineChars="200"/>
        <w:jc w:val="left"/>
        <w:rPr>
          <w:rFonts w:hint="eastAsia" w:ascii="仿宋_GB2312" w:hAnsi="宋体" w:eastAsia="仿宋_GB2312" w:cs="仿宋_GB2312"/>
          <w:color w:val="000000"/>
          <w:sz w:val="28"/>
          <w:szCs w:val="28"/>
        </w:rPr>
      </w:pPr>
    </w:p>
    <w:p w14:paraId="7B3E0720">
      <w:pPr>
        <w:ind w:firstLine="560" w:firstLineChars="200"/>
        <w:jc w:val="left"/>
        <w:rPr>
          <w:rFonts w:hint="eastAsia" w:ascii="仿宋_GB2312" w:hAnsi="宋体" w:eastAsia="仿宋_GB2312" w:cs="仿宋_GB2312"/>
          <w:color w:val="000000"/>
          <w:sz w:val="28"/>
          <w:szCs w:val="28"/>
        </w:rPr>
      </w:pPr>
    </w:p>
    <w:p w14:paraId="5900BE96">
      <w:pPr>
        <w:ind w:firstLine="560" w:firstLineChars="200"/>
        <w:jc w:val="left"/>
        <w:rPr>
          <w:rFonts w:hint="eastAsia" w:ascii="仿宋_GB2312" w:hAnsi="宋体" w:eastAsia="仿宋_GB2312" w:cs="仿宋_GB2312"/>
          <w:color w:val="000000"/>
          <w:sz w:val="28"/>
          <w:szCs w:val="28"/>
        </w:rPr>
      </w:pPr>
    </w:p>
    <w:p w14:paraId="26B57F17">
      <w:pPr>
        <w:ind w:firstLine="560" w:firstLineChars="200"/>
        <w:jc w:val="left"/>
        <w:rPr>
          <w:rFonts w:hint="eastAsia" w:ascii="仿宋_GB2312" w:hAnsi="宋体" w:eastAsia="仿宋_GB2312" w:cs="仿宋_GB2312"/>
          <w:color w:val="000000"/>
          <w:sz w:val="28"/>
          <w:szCs w:val="28"/>
        </w:rPr>
      </w:pPr>
    </w:p>
    <w:p w14:paraId="6A1FE7D3">
      <w:pPr>
        <w:ind w:firstLine="560" w:firstLineChars="200"/>
        <w:jc w:val="left"/>
        <w:rPr>
          <w:rFonts w:hint="eastAsia" w:ascii="仿宋_GB2312" w:hAnsi="宋体" w:eastAsia="仿宋_GB2312" w:cs="仿宋_GB2312"/>
          <w:color w:val="000000"/>
          <w:sz w:val="28"/>
          <w:szCs w:val="28"/>
        </w:rPr>
      </w:pPr>
    </w:p>
    <w:p w14:paraId="3FDD024B">
      <w:pPr>
        <w:ind w:firstLine="560" w:firstLineChars="200"/>
        <w:jc w:val="left"/>
        <w:rPr>
          <w:rFonts w:hint="eastAsia" w:ascii="仿宋_GB2312" w:hAnsi="宋体" w:eastAsia="仿宋_GB2312" w:cs="仿宋_GB2312"/>
          <w:color w:val="000000"/>
          <w:sz w:val="28"/>
          <w:szCs w:val="28"/>
        </w:rPr>
      </w:pPr>
    </w:p>
    <w:p w14:paraId="12D47E15">
      <w:pPr>
        <w:ind w:firstLine="560" w:firstLineChars="200"/>
        <w:jc w:val="left"/>
        <w:rPr>
          <w:rFonts w:hint="eastAsia" w:ascii="仿宋_GB2312" w:hAnsi="宋体" w:eastAsia="仿宋_GB2312" w:cs="仿宋_GB2312"/>
          <w:color w:val="000000"/>
          <w:sz w:val="28"/>
          <w:szCs w:val="28"/>
        </w:rPr>
      </w:pPr>
    </w:p>
    <w:p w14:paraId="5B1036A9">
      <w:pPr>
        <w:ind w:firstLine="560" w:firstLineChars="200"/>
        <w:jc w:val="left"/>
        <w:rPr>
          <w:rFonts w:hint="eastAsia" w:ascii="仿宋_GB2312" w:hAnsi="宋体" w:eastAsia="仿宋_GB2312" w:cs="仿宋_GB2312"/>
          <w:color w:val="000000"/>
          <w:sz w:val="28"/>
          <w:szCs w:val="28"/>
        </w:rPr>
      </w:pPr>
    </w:p>
    <w:bookmarkEnd w:id="227"/>
    <w:bookmarkEnd w:id="228"/>
    <w:bookmarkEnd w:id="229"/>
    <w:p w14:paraId="630A3014">
      <w:pPr>
        <w:ind w:firstLine="560" w:firstLineChars="200"/>
        <w:jc w:val="left"/>
        <w:rPr>
          <w:rFonts w:ascii="仿宋_GB2312" w:eastAsia="仿宋_GB2312" w:cs="仿宋_GB2312"/>
          <w:color w:val="000000"/>
          <w:sz w:val="28"/>
          <w:szCs w:val="28"/>
        </w:rPr>
      </w:pPr>
    </w:p>
    <w:p w14:paraId="4D28E651">
      <w:pPr>
        <w:pStyle w:val="5"/>
        <w:spacing w:beforeLines="50" w:afterLines="50"/>
        <w:ind w:firstLine="0" w:firstLineChars="0"/>
        <w:jc w:val="center"/>
        <w:rPr>
          <w:rFonts w:ascii="黑体" w:hAnsi="黑体" w:eastAsia="黑体"/>
          <w:sz w:val="32"/>
        </w:rPr>
      </w:pPr>
      <w:bookmarkStart w:id="230" w:name="_Toc3747"/>
      <w:bookmarkStart w:id="231" w:name="_Toc32483"/>
      <w:bookmarkStart w:id="232" w:name="_Toc14048"/>
      <w:bookmarkStart w:id="233" w:name="_Toc23946983"/>
      <w:bookmarkStart w:id="234" w:name="_Toc408746732"/>
      <w:bookmarkStart w:id="235" w:name="_Toc9441"/>
      <w:bookmarkStart w:id="236" w:name="_Toc406436502"/>
      <w:bookmarkStart w:id="237" w:name="_Toc406439136"/>
      <w:bookmarkStart w:id="238" w:name="_Toc406438905"/>
      <w:bookmarkStart w:id="239" w:name="_Toc406438951"/>
      <w:r>
        <w:rPr>
          <w:rFonts w:hint="eastAsia" w:ascii="黑体" w:hAnsi="黑体" w:eastAsia="黑体"/>
          <w:sz w:val="32"/>
        </w:rPr>
        <w:t>第五章 持仓额度管理</w:t>
      </w:r>
      <w:bookmarkEnd w:id="230"/>
      <w:bookmarkEnd w:id="231"/>
      <w:bookmarkEnd w:id="232"/>
      <w:bookmarkEnd w:id="233"/>
      <w:bookmarkEnd w:id="234"/>
      <w:bookmarkEnd w:id="235"/>
    </w:p>
    <w:p w14:paraId="2EA1530F">
      <w:pPr>
        <w:ind w:firstLine="555"/>
        <w:rPr>
          <w:rFonts w:ascii="仿宋_GB2312" w:eastAsia="仿宋_GB2312" w:cs="仿宋_GB2312"/>
          <w:sz w:val="28"/>
          <w:szCs w:val="28"/>
        </w:rPr>
      </w:pPr>
      <w:r>
        <w:rPr>
          <w:rFonts w:hint="eastAsia" w:ascii="仿宋_GB2312" w:eastAsia="仿宋_GB2312" w:cs="仿宋_GB2312"/>
          <w:sz w:val="28"/>
          <w:szCs w:val="28"/>
        </w:rPr>
        <w:t>公司总部负责制定持仓限额管理相关制度、统筹审核管理客户持仓及限购额度以及本公司经纪业务持仓额度，分支机构协助总部做好相关工作。</w:t>
      </w:r>
    </w:p>
    <w:p w14:paraId="0980C151">
      <w:pPr>
        <w:ind w:firstLine="560"/>
        <w:jc w:val="both"/>
        <w:rPr>
          <w:rFonts w:hint="eastAsia" w:ascii="Times New Roman" w:hAnsi="Times New Roman" w:eastAsia="黑体"/>
          <w:sz w:val="28"/>
          <w:szCs w:val="28"/>
        </w:rPr>
      </w:pPr>
      <w:bookmarkStart w:id="240" w:name="_Toc30425"/>
      <w:bookmarkStart w:id="241" w:name="_Toc26598"/>
      <w:bookmarkStart w:id="242" w:name="_Toc23946984"/>
      <w:bookmarkStart w:id="243" w:name="_Toc408749994"/>
      <w:bookmarkStart w:id="244" w:name="_Toc9125"/>
      <w:bookmarkStart w:id="245" w:name="_Toc19903"/>
      <w:r>
        <w:rPr>
          <w:rFonts w:hint="eastAsia" w:ascii="Times New Roman" w:hAnsi="Times New Roman" w:eastAsia="黑体"/>
          <w:sz w:val="28"/>
          <w:szCs w:val="28"/>
        </w:rPr>
        <w:t>一、持仓限额前端控制</w:t>
      </w:r>
      <w:bookmarkEnd w:id="240"/>
      <w:bookmarkEnd w:id="241"/>
      <w:bookmarkEnd w:id="242"/>
      <w:bookmarkEnd w:id="243"/>
      <w:bookmarkEnd w:id="244"/>
      <w:bookmarkEnd w:id="245"/>
    </w:p>
    <w:p w14:paraId="159739D2">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（一）持仓限额标准</w:t>
      </w:r>
    </w:p>
    <w:p w14:paraId="339AAF03">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投资者（含期权经营机构自营业务）单个衍生品合约账户对单个合约品种的权利仓持仓限额、总持仓限额、单日买入开仓限额标准如下：</w:t>
      </w:r>
    </w:p>
    <w:p w14:paraId="01FD1F4D">
      <w:pPr>
        <w:spacing w:beforeLines="50" w:afterLines="50"/>
        <w:ind w:firstLine="504" w:firstLineChars="180"/>
        <w:rPr>
          <w:rFonts w:hint="eastAsia" w:ascii="仿宋_GB2312" w:eastAsia="仿宋_GB2312" w:cs="仿宋_GB2312"/>
          <w:sz w:val="28"/>
          <w:szCs w:val="28"/>
        </w:rPr>
      </w:pPr>
      <w:r>
        <w:rPr>
          <w:rFonts w:hint="eastAsia" w:ascii="仿宋_GB2312" w:eastAsia="仿宋_GB2312" w:cs="仿宋_GB2312"/>
          <w:sz w:val="28"/>
          <w:szCs w:val="28"/>
        </w:rPr>
        <w:t>权利仓持仓限额标准为：</w:t>
      </w:r>
    </w:p>
    <w:p w14:paraId="44E59605">
      <w:pPr>
        <w:spacing w:beforeLines="50" w:afterLines="50"/>
        <w:ind w:firstLine="504" w:firstLineChars="180"/>
        <w:rPr>
          <w:rFonts w:hint="eastAsia"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新开立合约账户的投资者，权利仓持仓限额为</w:t>
      </w:r>
      <w:r>
        <w:rPr>
          <w:rFonts w:hint="eastAsia" w:ascii="仿宋_GB2312" w:eastAsia="仿宋_GB2312" w:cs="仿宋_GB2312"/>
          <w:sz w:val="28"/>
          <w:szCs w:val="28"/>
          <w:lang w:val="en-US" w:eastAsia="zh-CN"/>
        </w:rPr>
        <w:t>100</w:t>
      </w:r>
      <w:r>
        <w:rPr>
          <w:rFonts w:hint="eastAsia" w:ascii="仿宋_GB2312" w:eastAsia="仿宋_GB2312" w:cs="仿宋_GB2312"/>
          <w:sz w:val="28"/>
          <w:szCs w:val="28"/>
        </w:rPr>
        <w:t>张，总持仓限额为</w:t>
      </w:r>
      <w:r>
        <w:rPr>
          <w:rFonts w:hint="eastAsia" w:ascii="仿宋_GB2312" w:eastAsia="仿宋_GB2312" w:cs="仿宋_GB2312"/>
          <w:sz w:val="28"/>
          <w:szCs w:val="28"/>
          <w:lang w:val="en-US" w:eastAsia="zh-CN"/>
        </w:rPr>
        <w:t>20</w:t>
      </w:r>
      <w:r>
        <w:rPr>
          <w:rFonts w:hint="eastAsia" w:ascii="仿宋_GB2312" w:eastAsia="仿宋_GB2312" w:cs="仿宋_GB2312"/>
          <w:sz w:val="28"/>
          <w:szCs w:val="28"/>
        </w:rPr>
        <w:t>0张</w:t>
      </w:r>
      <w:r>
        <w:rPr>
          <w:rFonts w:hint="default" w:ascii="Times New Roman" w:hAnsi="Times New Roman" w:eastAsia="仿宋_GB2312" w:cs="Times New Roman"/>
          <w:sz w:val="28"/>
          <w:szCs w:val="28"/>
        </w:rPr>
        <w:t>、单日买入开仓限额为400张</w:t>
      </w:r>
      <w:r>
        <w:rPr>
          <w:rFonts w:hint="eastAsia" w:ascii="仿宋_GB2312" w:eastAsia="仿宋_GB2312" w:cs="仿宋_GB2312"/>
          <w:sz w:val="28"/>
          <w:szCs w:val="28"/>
        </w:rPr>
        <w:t>。</w:t>
      </w:r>
    </w:p>
    <w:p w14:paraId="1393C834">
      <w:pPr>
        <w:spacing w:before="0" w:beforeLines="-2147483648" w:after="0" w:afterLines="-2147483648"/>
        <w:ind w:firstLine="560" w:firstLineChars="200"/>
        <w:rPr>
          <w:rFonts w:hint="default" w:ascii="Times New Roman" w:hAnsi="Times New Roman" w:eastAsia="仿宋_GB2312" w:cs="Times New Roman"/>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经期货公司评估认为风险承受能力较强、</w:t>
      </w:r>
      <w:r>
        <w:rPr>
          <w:rFonts w:hint="default" w:ascii="Times New Roman" w:hAnsi="Times New Roman" w:eastAsia="仿宋_GB2312" w:cs="Times New Roman"/>
          <w:sz w:val="28"/>
          <w:szCs w:val="28"/>
        </w:rPr>
        <w:t>开户满10个交易日、</w:t>
      </w:r>
      <w:r>
        <w:rPr>
          <w:rFonts w:ascii="Times New Roman" w:hAnsi="Times New Roman" w:eastAsia="仿宋_GB2312"/>
          <w:sz w:val="28"/>
          <w:szCs w:val="28"/>
        </w:rPr>
        <w:t>股票</w:t>
      </w:r>
      <w:r>
        <w:rPr>
          <w:rFonts w:hint="default" w:ascii="Times New Roman" w:hAnsi="Times New Roman" w:eastAsia="仿宋_GB2312" w:cs="Times New Roman"/>
          <w:sz w:val="28"/>
          <w:szCs w:val="28"/>
        </w:rPr>
        <w:t>期权合约成交量达到100张且具备三级交易权限的投资者，权利仓持仓限额1000张、总持仓限额2000张、单日买入开仓限额4000张。</w:t>
      </w:r>
    </w:p>
    <w:p w14:paraId="0096BFFA">
      <w:pPr>
        <w:spacing w:beforeLines="50" w:afterLines="50"/>
        <w:ind w:firstLine="504" w:firstLineChars="180"/>
        <w:rPr>
          <w:rFonts w:hint="default" w:ascii="Times New Roman" w:hAnsi="Times New Roman" w:eastAsia="仿宋_GB2312" w:cs="Times New Roman"/>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经期货公司评估认为风险承受能力较强、</w:t>
      </w:r>
      <w:r>
        <w:rPr>
          <w:rFonts w:hint="default" w:ascii="Times New Roman" w:hAnsi="Times New Roman" w:eastAsia="仿宋_GB2312" w:cs="Times New Roman"/>
          <w:sz w:val="28"/>
          <w:szCs w:val="28"/>
        </w:rPr>
        <w:t>开户满10个交易日、</w:t>
      </w:r>
      <w:r>
        <w:rPr>
          <w:rFonts w:ascii="Times New Roman" w:hAnsi="Times New Roman" w:eastAsia="仿宋_GB2312"/>
          <w:sz w:val="28"/>
          <w:szCs w:val="28"/>
        </w:rPr>
        <w:t>股票</w:t>
      </w:r>
      <w:r>
        <w:rPr>
          <w:rFonts w:hint="default" w:ascii="Times New Roman" w:hAnsi="Times New Roman" w:eastAsia="仿宋_GB2312" w:cs="Times New Roman"/>
          <w:sz w:val="28"/>
          <w:szCs w:val="28"/>
        </w:rPr>
        <w:t>期权合约成交量达到500张、自有资产余额超过100万元且具备三级交易权限的客户，权利仓持仓限额2000张、总持仓限额4000张、单日买入开仓限额8000张。</w:t>
      </w:r>
    </w:p>
    <w:p w14:paraId="07B61EE4">
      <w:pPr>
        <w:spacing w:beforeLines="50" w:afterLines="50"/>
        <w:ind w:firstLine="504" w:firstLineChars="180"/>
        <w:rPr>
          <w:rFonts w:ascii="仿宋_GB2312" w:eastAsia="仿宋_GB2312" w:cs="仿宋_GB2312"/>
          <w:sz w:val="28"/>
          <w:szCs w:val="28"/>
        </w:rPr>
      </w:pPr>
      <w:r>
        <w:rPr>
          <w:rFonts w:hint="eastAsia" w:ascii="Times New Roman" w:hAnsi="Times New Roman" w:eastAsia="仿宋_GB2312" w:cs="Times New Roman"/>
          <w:sz w:val="28"/>
          <w:szCs w:val="28"/>
          <w:lang w:val="en-US" w:eastAsia="zh-CN"/>
        </w:rPr>
        <w:t>4.</w:t>
      </w:r>
      <w:r>
        <w:rPr>
          <w:rFonts w:hint="eastAsia" w:ascii="仿宋_GB2312" w:eastAsia="仿宋_GB2312" w:cs="仿宋_GB2312"/>
          <w:sz w:val="28"/>
          <w:szCs w:val="28"/>
        </w:rPr>
        <w:t>经期货公司评估认为风险承受能力较强、</w:t>
      </w:r>
      <w:r>
        <w:rPr>
          <w:rFonts w:hint="default" w:ascii="Times New Roman" w:hAnsi="Times New Roman" w:eastAsia="仿宋_GB2312" w:cs="Times New Roman"/>
          <w:sz w:val="28"/>
          <w:szCs w:val="28"/>
        </w:rPr>
        <w:t>开户满10个交易日、</w:t>
      </w:r>
      <w:r>
        <w:rPr>
          <w:rFonts w:ascii="Times New Roman" w:hAnsi="Times New Roman" w:eastAsia="仿宋_GB2312"/>
          <w:sz w:val="28"/>
          <w:szCs w:val="28"/>
        </w:rPr>
        <w:t>股票</w:t>
      </w:r>
      <w:r>
        <w:rPr>
          <w:rFonts w:hint="default" w:ascii="Times New Roman" w:hAnsi="Times New Roman" w:eastAsia="仿宋_GB2312" w:cs="Times New Roman"/>
          <w:sz w:val="28"/>
          <w:szCs w:val="28"/>
        </w:rPr>
        <w:t>期权合约成交量达到1000张、自有资产余额超过300万的客户且具备三级交易权限的客户，权利仓持仓限额为5000张、总持仓限额为10000张、单日买入开仓限额为10000张。</w:t>
      </w:r>
    </w:p>
    <w:p w14:paraId="0B676C15">
      <w:pPr>
        <w:spacing w:before="0" w:beforeLines="-2147483648" w:after="0" w:afterLines="-2147483648"/>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自有资产余额，指投资者托管在该</w:t>
      </w:r>
      <w:r>
        <w:rPr>
          <w:rFonts w:hint="eastAsia" w:ascii="Times New Roman" w:hAnsi="Times New Roman" w:eastAsia="仿宋_GB2312" w:cs="Times New Roman"/>
          <w:sz w:val="28"/>
          <w:szCs w:val="28"/>
          <w:highlight w:val="none"/>
          <w:lang w:eastAsia="zh-CN"/>
        </w:rPr>
        <w:t>期货</w:t>
      </w:r>
      <w:r>
        <w:rPr>
          <w:rFonts w:hint="default" w:ascii="Times New Roman" w:hAnsi="Times New Roman" w:eastAsia="仿宋_GB2312" w:cs="Times New Roman"/>
          <w:sz w:val="28"/>
          <w:szCs w:val="28"/>
          <w:highlight w:val="none"/>
        </w:rPr>
        <w:t>公司的沪深证券市值与资金账户可用余额（</w:t>
      </w:r>
      <w:r>
        <w:rPr>
          <w:rFonts w:hint="eastAsia" w:ascii="仿宋_GB2312" w:hAnsi="宋体" w:eastAsia="仿宋_GB2312" w:cs="仿宋_GB2312"/>
          <w:color w:val="000000"/>
          <w:sz w:val="28"/>
          <w:szCs w:val="28"/>
          <w:highlight w:val="none"/>
        </w:rPr>
        <w:t>包括保证金可用余额</w:t>
      </w:r>
      <w:r>
        <w:rPr>
          <w:rFonts w:hint="default" w:ascii="Times New Roman" w:hAnsi="Times New Roman" w:eastAsia="仿宋_GB2312" w:cs="Times New Roman"/>
          <w:sz w:val="28"/>
          <w:szCs w:val="28"/>
          <w:highlight w:val="none"/>
        </w:rPr>
        <w:t>）。</w:t>
      </w:r>
    </w:p>
    <w:p w14:paraId="429AAF9B">
      <w:pPr>
        <w:spacing w:before="0" w:beforeLines="-2147483648" w:after="0" w:afterLines="-2147483648"/>
        <w:ind w:firstLine="560" w:firstLineChars="200"/>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2"/>
          <w:sz w:val="28"/>
          <w:szCs w:val="28"/>
          <w:highlight w:val="none"/>
        </w:rPr>
        <w:t>投资者（包括个人投资者、普通机构投资者和专业机构投资者等）因进行套期保值交易，需要提高持仓限额且符合本所规定条件的，可以根据《上海证券交易所股票期权持仓限额管理业务指引》的相关规定，对单个合约品种向本所申请提高权利仓持仓限额、总持仓限额以及单日买入开仓限额。</w:t>
      </w:r>
    </w:p>
    <w:p w14:paraId="72CE3B58">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（二）前端控制</w:t>
      </w:r>
    </w:p>
    <w:p w14:paraId="781E7BC7">
      <w:pPr>
        <w:spacing w:beforeLines="50" w:afterLines="50"/>
        <w:ind w:firstLine="504" w:firstLineChars="180"/>
        <w:rPr>
          <w:rFonts w:ascii="仿宋_GB2312" w:eastAsia="仿宋_GB2312"/>
          <w:kern w:val="0"/>
          <w:sz w:val="28"/>
          <w:szCs w:val="28"/>
        </w:rPr>
      </w:pPr>
      <w:r>
        <w:rPr>
          <w:rFonts w:hint="eastAsia" w:ascii="仿宋_GB2312" w:eastAsia="仿宋_GB2312" w:cs="仿宋_GB2312"/>
          <w:sz w:val="28"/>
          <w:szCs w:val="28"/>
          <w:lang w:val="en-US" w:eastAsia="zh-CN"/>
        </w:rPr>
        <w:t>期货</w:t>
      </w:r>
      <w:r>
        <w:rPr>
          <w:rFonts w:hint="eastAsia" w:ascii="仿宋_GB2312" w:eastAsia="仿宋_GB2312" w:cs="仿宋_GB2312"/>
          <w:sz w:val="28"/>
          <w:szCs w:val="28"/>
        </w:rPr>
        <w:t>公司应监控客户及自身经纪业务的</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期权合约持仓情况，包括：单个账户对同一合约品种权利仓持仓限额、总持仓限额、单日买入开仓限额、</w:t>
      </w:r>
      <w:r>
        <w:rPr>
          <w:rFonts w:hint="eastAsia" w:ascii="仿宋_GB2312" w:eastAsia="仿宋_GB2312" w:cs="仿宋_GB2312"/>
          <w:sz w:val="28"/>
          <w:szCs w:val="28"/>
          <w:lang w:val="en-US" w:eastAsia="zh-CN"/>
        </w:rPr>
        <w:t>期货</w:t>
      </w:r>
      <w:r>
        <w:rPr>
          <w:rFonts w:hint="eastAsia" w:ascii="仿宋_GB2312" w:eastAsia="仿宋_GB2312" w:cs="仿宋_GB2312"/>
          <w:sz w:val="28"/>
          <w:szCs w:val="28"/>
        </w:rPr>
        <w:t>公司对同一合约品种的经纪业务总持仓限额。</w:t>
      </w:r>
    </w:p>
    <w:p w14:paraId="331C2BC5">
      <w:pPr>
        <w:spacing w:beforeLines="50" w:afterLines="50"/>
        <w:ind w:firstLine="504" w:firstLineChars="18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单个账户对同一合约品种权利仓持仓限额指投资者持有该合约品种的认购期权和认沽期权合约的权利仓合计不超过的数量。单个账户对同一合约品种总持仓限额指投资者持有该合约品种的认购期权和认沽期权合约的权利仓和义务仓（含备兑开仓）合计不超过的数量。单个账户对同一合约品种</w:t>
      </w:r>
      <w:r>
        <w:rPr>
          <w:rFonts w:hint="eastAsia" w:ascii="仿宋_GB2312" w:eastAsia="仿宋_GB2312" w:cs="仿宋_GB2312"/>
          <w:sz w:val="28"/>
          <w:szCs w:val="28"/>
        </w:rPr>
        <w:t>单日买入开仓限额指投资者单日进行</w:t>
      </w:r>
      <w:r>
        <w:rPr>
          <w:rFonts w:hint="eastAsia" w:ascii="仿宋_GB2312" w:hAnsi="Times New Roman" w:eastAsia="仿宋_GB2312" w:cs="仿宋_GB2312"/>
          <w:kern w:val="0"/>
          <w:sz w:val="28"/>
          <w:szCs w:val="28"/>
        </w:rPr>
        <w:t>认购期权和认沽期权的权利仓开仓合计不超过的数量。</w:t>
      </w:r>
      <w:r>
        <w:rPr>
          <w:rFonts w:hint="eastAsia" w:ascii="仿宋_GB2312" w:eastAsia="仿宋_GB2312" w:cs="仿宋_GB2312"/>
          <w:sz w:val="28"/>
          <w:szCs w:val="28"/>
        </w:rPr>
        <w:t>期货</w:t>
      </w:r>
      <w:r>
        <w:rPr>
          <w:rFonts w:hint="eastAsia" w:ascii="仿宋_GB2312" w:hAnsi="Times New Roman" w:eastAsia="仿宋_GB2312" w:cs="仿宋_GB2312"/>
          <w:kern w:val="0"/>
          <w:sz w:val="28"/>
          <w:szCs w:val="28"/>
        </w:rPr>
        <w:t>公司对同一合约品种的经纪业务总持仓限额指</w:t>
      </w:r>
      <w:r>
        <w:rPr>
          <w:rFonts w:hint="eastAsia" w:ascii="仿宋_GB2312" w:eastAsia="仿宋_GB2312" w:cs="仿宋_GB2312"/>
          <w:sz w:val="28"/>
          <w:szCs w:val="28"/>
        </w:rPr>
        <w:t>期货</w:t>
      </w:r>
      <w:r>
        <w:rPr>
          <w:rFonts w:hint="eastAsia" w:ascii="仿宋_GB2312" w:hAnsi="Times New Roman" w:eastAsia="仿宋_GB2312" w:cs="仿宋_GB2312"/>
          <w:kern w:val="0"/>
          <w:sz w:val="28"/>
          <w:szCs w:val="28"/>
        </w:rPr>
        <w:t>公司经纪业务持有该合约品种的认购期权和认沽期权合约的权利仓和义务仓（含备兑开仓）合计不超过的数量。</w:t>
      </w:r>
    </w:p>
    <w:p w14:paraId="3ECCB2C1">
      <w:pPr>
        <w:spacing w:beforeLines="50" w:afterLines="50"/>
        <w:ind w:firstLine="504" w:firstLineChars="18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对不同合约品种，可以设置不同的持仓限额。</w:t>
      </w:r>
      <w:r>
        <w:rPr>
          <w:rFonts w:hint="eastAsia" w:ascii="仿宋_GB2312" w:eastAsia="仿宋_GB2312" w:cs="仿宋_GB2312"/>
          <w:sz w:val="28"/>
          <w:szCs w:val="28"/>
        </w:rPr>
        <w:t>期货</w:t>
      </w:r>
      <w:r>
        <w:rPr>
          <w:rFonts w:hint="eastAsia" w:ascii="仿宋_GB2312" w:hAnsi="Times New Roman" w:eastAsia="仿宋_GB2312" w:cs="仿宋_GB2312"/>
          <w:kern w:val="0"/>
          <w:sz w:val="28"/>
          <w:szCs w:val="28"/>
        </w:rPr>
        <w:t>公司可以对不同客户设置不同的持仓限额，但不得高于交易所规定标准。前端控制具体如下。</w:t>
      </w:r>
    </w:p>
    <w:p w14:paraId="3DACD16E">
      <w:pPr>
        <w:spacing w:beforeLines="50" w:afterLines="50"/>
        <w:ind w:firstLine="504" w:firstLineChars="180"/>
        <w:rPr>
          <w:rFonts w:ascii="仿宋_GB2312" w:hAnsi="Times New Roman" w:eastAsia="仿宋_GB2312" w:cs="仿宋_GB2312"/>
          <w:sz w:val="28"/>
          <w:szCs w:val="28"/>
        </w:rPr>
      </w:pPr>
      <w:r>
        <w:rPr>
          <w:rFonts w:hint="eastAsia" w:ascii="仿宋_GB2312" w:hAnsi="Times New Roman" w:eastAsia="仿宋_GB2312" w:cs="仿宋_GB2312"/>
          <w:sz w:val="28"/>
          <w:szCs w:val="28"/>
        </w:rPr>
        <w:t>对买入开仓：权利仓已持仓数量+买入开仓未成交申报数量（撤单需扣减）</w:t>
      </w:r>
      <w:r>
        <w:rPr>
          <w:rFonts w:ascii="Times New Roman" w:hAnsi="Times New Roman" w:eastAsia="仿宋_GB2312"/>
          <w:sz w:val="28"/>
          <w:szCs w:val="28"/>
        </w:rPr>
        <w:t>≤</w:t>
      </w:r>
      <w:r>
        <w:rPr>
          <w:rFonts w:hint="eastAsia" w:ascii="仿宋_GB2312" w:hAnsi="Times New Roman" w:eastAsia="仿宋_GB2312" w:cs="仿宋_GB2312"/>
          <w:sz w:val="28"/>
          <w:szCs w:val="28"/>
        </w:rPr>
        <w:t>权利仓持仓限额</w:t>
      </w:r>
    </w:p>
    <w:p w14:paraId="54C8A060">
      <w:pPr>
        <w:spacing w:beforeLines="50" w:afterLines="50"/>
        <w:ind w:firstLine="504" w:firstLineChars="180"/>
        <w:rPr>
          <w:rFonts w:ascii="仿宋_GB2312" w:hAnsi="Times New Roman" w:eastAsia="仿宋_GB2312" w:cs="仿宋_GB2312"/>
          <w:kern w:val="0"/>
          <w:sz w:val="28"/>
          <w:szCs w:val="28"/>
        </w:rPr>
      </w:pPr>
      <w:r>
        <w:rPr>
          <w:rFonts w:hint="eastAsia" w:ascii="仿宋_GB2312" w:eastAsia="仿宋_GB2312" w:cs="仿宋_GB2312"/>
          <w:sz w:val="28"/>
          <w:szCs w:val="28"/>
        </w:rPr>
        <w:t>对买入开仓和卖出开仓：权利仓已持仓数量+义务仓已持仓数量（包括备兑开仓）+买入开仓未成交申报数量（撤单需扣减）+卖出开仓未成交申报数量（撤单需扣减，包括备兑开仓）</w:t>
      </w:r>
      <w:r>
        <w:rPr>
          <w:rFonts w:ascii="Times New Roman" w:hAnsi="Times New Roman" w:eastAsia="仿宋_GB2312"/>
          <w:sz w:val="28"/>
          <w:szCs w:val="28"/>
        </w:rPr>
        <w:t>≤</w:t>
      </w:r>
      <w:r>
        <w:rPr>
          <w:rFonts w:hint="eastAsia" w:ascii="仿宋_GB2312" w:eastAsia="仿宋_GB2312" w:cs="仿宋_GB2312"/>
          <w:sz w:val="28"/>
          <w:szCs w:val="28"/>
        </w:rPr>
        <w:t>总持仓限额</w:t>
      </w:r>
    </w:p>
    <w:p w14:paraId="784CC5D7">
      <w:pPr>
        <w:widowControl/>
        <w:spacing w:before="120" w:after="120"/>
        <w:ind w:firstLine="420" w:firstLineChars="150"/>
        <w:jc w:val="left"/>
        <w:rPr>
          <w:rFonts w:ascii="仿宋_GB2312" w:eastAsia="仿宋_GB2312" w:cs="仿宋_GB2312"/>
          <w:sz w:val="28"/>
          <w:szCs w:val="28"/>
        </w:rPr>
      </w:pPr>
      <w:r>
        <w:rPr>
          <w:rFonts w:hint="eastAsia" w:ascii="仿宋_GB2312" w:eastAsia="仿宋_GB2312" w:cs="仿宋_GB2312"/>
          <w:sz w:val="28"/>
          <w:szCs w:val="28"/>
        </w:rPr>
        <w:t>对单日买入开仓：</w:t>
      </w:r>
      <w:r>
        <w:rPr>
          <w:rFonts w:hint="eastAsia" w:ascii="仿宋_GB2312" w:hAnsi="Times New Roman" w:eastAsia="仿宋_GB2312" w:cs="仿宋_GB2312"/>
          <w:kern w:val="0"/>
          <w:sz w:val="28"/>
          <w:szCs w:val="28"/>
        </w:rPr>
        <w:t>该合约品种当日已累计买入开仓数量（撤单需扣减实际撤单数量）+该笔买入开仓数量</w:t>
      </w:r>
      <w:r>
        <w:rPr>
          <w:rFonts w:ascii="Times New Roman" w:hAnsi="Times New Roman" w:eastAsia="仿宋_GB2312"/>
          <w:sz w:val="28"/>
          <w:szCs w:val="28"/>
        </w:rPr>
        <w:t>≤</w:t>
      </w:r>
      <w:r>
        <w:rPr>
          <w:rFonts w:hint="eastAsia" w:ascii="仿宋_GB2312" w:hAnsi="Times New Roman" w:eastAsia="仿宋_GB2312" w:cs="仿宋_GB2312"/>
          <w:kern w:val="0"/>
          <w:sz w:val="28"/>
          <w:szCs w:val="28"/>
        </w:rPr>
        <w:t>该合约品种单日买入开仓限额，否则该笔开仓无效。（平仓后不计增单日可买入开仓额度）</w:t>
      </w:r>
      <w:r>
        <w:rPr>
          <w:rFonts w:hint="eastAsia" w:ascii="仿宋_GB2312" w:eastAsia="仿宋_GB2312" w:cs="仿宋_GB2312"/>
          <w:sz w:val="28"/>
          <w:szCs w:val="28"/>
        </w:rPr>
        <w:t>。</w:t>
      </w:r>
    </w:p>
    <w:p w14:paraId="6C3860F6">
      <w:pPr>
        <w:spacing w:beforeLines="50" w:afterLines="50"/>
        <w:ind w:firstLine="504" w:firstLineChars="180"/>
        <w:rPr>
          <w:rFonts w:ascii="仿宋_GB2312" w:hAnsi="Times New Roman" w:eastAsia="仿宋_GB2312" w:cs="仿宋_GB2312"/>
          <w:kern w:val="0"/>
          <w:sz w:val="28"/>
          <w:szCs w:val="28"/>
        </w:rPr>
      </w:pPr>
      <w:r>
        <w:rPr>
          <w:rFonts w:hint="eastAsia" w:ascii="仿宋_GB2312" w:eastAsia="仿宋_GB2312" w:cs="仿宋_GB2312"/>
          <w:sz w:val="28"/>
          <w:szCs w:val="28"/>
        </w:rPr>
        <w:t>期货</w:t>
      </w:r>
      <w:r>
        <w:rPr>
          <w:rFonts w:hint="eastAsia" w:ascii="仿宋_GB2312" w:hAnsi="Times New Roman" w:eastAsia="仿宋_GB2312" w:cs="仿宋_GB2312"/>
          <w:kern w:val="0"/>
          <w:sz w:val="28"/>
          <w:szCs w:val="28"/>
        </w:rPr>
        <w:t>公司应就上述针对同一合约品种的持仓数量设置持仓比例预警值，确保投资者、</w:t>
      </w:r>
      <w:r>
        <w:rPr>
          <w:rFonts w:hint="eastAsia" w:ascii="仿宋_GB2312" w:eastAsia="仿宋_GB2312" w:cs="仿宋_GB2312"/>
          <w:sz w:val="28"/>
          <w:szCs w:val="28"/>
        </w:rPr>
        <w:t>期货</w:t>
      </w:r>
      <w:r>
        <w:rPr>
          <w:rFonts w:hint="eastAsia" w:ascii="仿宋_GB2312" w:hAnsi="Times New Roman" w:eastAsia="仿宋_GB2312" w:cs="仿宋_GB2312"/>
          <w:kern w:val="0"/>
          <w:sz w:val="28"/>
          <w:szCs w:val="28"/>
        </w:rPr>
        <w:t>公司经纪业务对同一合约品种的持仓不超过</w:t>
      </w:r>
      <w:r>
        <w:rPr>
          <w:rFonts w:hint="eastAsia" w:ascii="仿宋_GB2312" w:hAnsi="Times New Roman" w:eastAsia="仿宋_GB2312" w:cs="仿宋_GB2312"/>
          <w:sz w:val="28"/>
          <w:szCs w:val="28"/>
          <w:lang w:eastAsia="zh-CN"/>
        </w:rPr>
        <w:t>本所</w:t>
      </w:r>
      <w:r>
        <w:rPr>
          <w:rFonts w:hint="eastAsia" w:ascii="仿宋_GB2312" w:hAnsi="Times New Roman" w:eastAsia="仿宋_GB2312" w:cs="仿宋_GB2312"/>
          <w:kern w:val="0"/>
          <w:sz w:val="28"/>
          <w:szCs w:val="28"/>
        </w:rPr>
        <w:t>规定的持仓限额。同一合约品种持仓比例=对单个合约品种持仓数量之和/持仓限额。</w:t>
      </w:r>
    </w:p>
    <w:p w14:paraId="7928E8C1">
      <w:pPr>
        <w:pStyle w:val="28"/>
        <w:autoSpaceDE w:val="0"/>
        <w:autoSpaceDN w:val="0"/>
        <w:adjustRightInd w:val="0"/>
        <w:ind w:firstLine="548" w:firstLineChars="196"/>
        <w:jc w:val="left"/>
        <w:rPr>
          <w:rFonts w:ascii="仿宋_GB2312" w:hAnsi="仿宋" w:eastAsia="仿宋_GB2312" w:cs="仿宋_GB2312"/>
          <w:sz w:val="28"/>
          <w:szCs w:val="28"/>
        </w:rPr>
      </w:pPr>
      <w:r>
        <w:rPr>
          <w:rFonts w:hint="eastAsia" w:ascii="仿宋_GB2312" w:hAnsi="Calibri" w:eastAsia="仿宋_GB2312" w:cs="仿宋_GB2312"/>
          <w:color w:val="000000"/>
          <w:kern w:val="0"/>
          <w:sz w:val="28"/>
          <w:szCs w:val="28"/>
        </w:rPr>
        <w:t>为了对整个经纪业务持仓风险进行控制，</w:t>
      </w:r>
      <w:r>
        <w:rPr>
          <w:rFonts w:hint="eastAsia" w:ascii="仿宋_GB2312" w:hAnsi="Calibri" w:eastAsia="仿宋_GB2312" w:cs="仿宋_GB2312"/>
          <w:sz w:val="28"/>
          <w:szCs w:val="28"/>
        </w:rPr>
        <w:t>期货</w:t>
      </w:r>
      <w:r>
        <w:rPr>
          <w:rFonts w:hint="eastAsia" w:ascii="仿宋_GB2312" w:hAnsi="Calibri" w:eastAsia="仿宋_GB2312" w:cs="仿宋_GB2312"/>
          <w:color w:val="000000"/>
          <w:kern w:val="0"/>
          <w:sz w:val="28"/>
          <w:szCs w:val="28"/>
        </w:rPr>
        <w:t>公司应当对经纪业务中同一合约品种的总持仓进行前端控制。对于经纪业务同一合约品种总持仓占持仓限额比例达到一定</w:t>
      </w:r>
      <w:r>
        <w:rPr>
          <w:rFonts w:ascii="Times New Roman" w:hAnsi="Times New Roman" w:eastAsia="仿宋_GB2312"/>
          <w:sz w:val="28"/>
          <w:szCs w:val="28"/>
        </w:rPr>
        <w:t>阈值</w:t>
      </w:r>
      <w:r>
        <w:rPr>
          <w:rFonts w:hint="eastAsia" w:ascii="仿宋_GB2312" w:hAnsi="Calibri" w:eastAsia="仿宋_GB2312" w:cs="仿宋_GB2312"/>
          <w:color w:val="000000"/>
          <w:kern w:val="0"/>
          <w:sz w:val="28"/>
          <w:szCs w:val="28"/>
        </w:rPr>
        <w:t>（比如80%，</w:t>
      </w:r>
      <w:r>
        <w:rPr>
          <w:rFonts w:hint="eastAsia" w:ascii="仿宋_GB2312" w:hAnsi="Calibri" w:eastAsia="仿宋_GB2312" w:cs="仿宋_GB2312"/>
          <w:sz w:val="28"/>
          <w:szCs w:val="28"/>
        </w:rPr>
        <w:t>期货</w:t>
      </w:r>
      <w:r>
        <w:rPr>
          <w:rFonts w:hint="eastAsia" w:ascii="仿宋_GB2312" w:hAnsi="Calibri" w:eastAsia="仿宋_GB2312" w:cs="仿宋_GB2312"/>
          <w:color w:val="000000"/>
          <w:kern w:val="0"/>
          <w:sz w:val="28"/>
          <w:szCs w:val="28"/>
        </w:rPr>
        <w:t>公司可以结合本公司实际情况确定</w:t>
      </w:r>
      <w:r>
        <w:rPr>
          <w:rFonts w:ascii="Times New Roman" w:hAnsi="Times New Roman" w:eastAsia="仿宋_GB2312"/>
          <w:sz w:val="28"/>
          <w:szCs w:val="28"/>
        </w:rPr>
        <w:t>阈值</w:t>
      </w:r>
      <w:r>
        <w:rPr>
          <w:rFonts w:hint="eastAsia" w:ascii="仿宋_GB2312" w:hAnsi="Calibri" w:eastAsia="仿宋_GB2312" w:cs="仿宋_GB2312"/>
          <w:color w:val="000000"/>
          <w:kern w:val="0"/>
          <w:sz w:val="28"/>
          <w:szCs w:val="28"/>
        </w:rPr>
        <w:t>）时，</w:t>
      </w:r>
      <w:r>
        <w:rPr>
          <w:rFonts w:hint="eastAsia" w:ascii="仿宋_GB2312" w:hAnsi="Calibri" w:eastAsia="仿宋_GB2312" w:cs="仿宋_GB2312"/>
          <w:sz w:val="28"/>
          <w:szCs w:val="28"/>
        </w:rPr>
        <w:t>期货</w:t>
      </w:r>
      <w:r>
        <w:rPr>
          <w:rFonts w:hint="eastAsia" w:ascii="仿宋_GB2312" w:hAnsi="Calibri" w:eastAsia="仿宋_GB2312" w:cs="仿宋_GB2312"/>
          <w:color w:val="000000"/>
          <w:kern w:val="0"/>
          <w:sz w:val="28"/>
          <w:szCs w:val="28"/>
        </w:rPr>
        <w:t>公司根据自身情况决定是否向</w:t>
      </w:r>
      <w:r>
        <w:rPr>
          <w:rFonts w:hint="eastAsia" w:ascii="仿宋_GB2312" w:hAnsi="Calibri" w:eastAsia="仿宋_GB2312" w:cs="仿宋_GB2312"/>
          <w:color w:val="000000"/>
          <w:kern w:val="0"/>
          <w:sz w:val="28"/>
          <w:szCs w:val="28"/>
          <w:lang w:eastAsia="zh-CN"/>
        </w:rPr>
        <w:t>本所</w:t>
      </w:r>
      <w:r>
        <w:rPr>
          <w:rFonts w:hint="eastAsia" w:ascii="仿宋_GB2312" w:hAnsi="Calibri" w:eastAsia="仿宋_GB2312" w:cs="仿宋_GB2312"/>
          <w:color w:val="000000"/>
          <w:kern w:val="0"/>
          <w:sz w:val="28"/>
          <w:szCs w:val="28"/>
        </w:rPr>
        <w:t>提出调高总持仓限额的申请。若需调整总持仓限额，需提交相关申请材料，</w:t>
      </w:r>
      <w:r>
        <w:rPr>
          <w:rFonts w:hint="eastAsia" w:ascii="仿宋_GB2312" w:hAnsi="Calibri" w:eastAsia="仿宋_GB2312" w:cs="仿宋_GB2312"/>
          <w:color w:val="000000"/>
          <w:kern w:val="0"/>
          <w:sz w:val="28"/>
          <w:szCs w:val="28"/>
          <w:lang w:eastAsia="zh-CN"/>
        </w:rPr>
        <w:t>本所</w:t>
      </w:r>
      <w:r>
        <w:rPr>
          <w:rFonts w:hint="eastAsia" w:ascii="仿宋_GB2312" w:hAnsi="Calibri" w:eastAsia="仿宋_GB2312" w:cs="仿宋_GB2312"/>
          <w:color w:val="000000"/>
          <w:kern w:val="0"/>
          <w:sz w:val="28"/>
          <w:szCs w:val="28"/>
        </w:rPr>
        <w:t>将根据市场情况以及申请人的申请材料、资信状况、交易情况等，对其额度申请进行审核。</w:t>
      </w:r>
    </w:p>
    <w:p w14:paraId="10C5BDE6">
      <w:pPr>
        <w:pStyle w:val="28"/>
        <w:autoSpaceDE w:val="0"/>
        <w:autoSpaceDN w:val="0"/>
        <w:adjustRightInd w:val="0"/>
        <w:jc w:val="center"/>
        <w:rPr>
          <w:rFonts w:ascii="仿宋_GB2312" w:hAnsi="仿宋" w:eastAsia="仿宋_GB2312" w:cs="仿宋_GB2312"/>
          <w:sz w:val="28"/>
          <w:szCs w:val="28"/>
        </w:rPr>
      </w:pPr>
      <w:r>
        <w:rPr>
          <w:rFonts w:hint="eastAsia" w:ascii="仿宋_GB2312" w:hAnsi="仿宋" w:eastAsia="仿宋_GB2312" w:cs="仿宋_GB2312"/>
          <w:kern w:val="0"/>
          <w:sz w:val="28"/>
          <w:szCs w:val="28"/>
        </w:rPr>
        <w:t>表</w:t>
      </w:r>
      <w:r>
        <w:rPr>
          <w:rFonts w:hint="eastAsia" w:ascii="仿宋_GB2312" w:hAnsi="仿宋" w:eastAsia="仿宋_GB2312"/>
          <w:kern w:val="0"/>
          <w:sz w:val="28"/>
          <w:szCs w:val="28"/>
        </w:rPr>
        <w:t xml:space="preserve">1 </w:t>
      </w:r>
      <w:r>
        <w:rPr>
          <w:rFonts w:hint="eastAsia" w:ascii="仿宋_GB2312" w:hAnsi="仿宋" w:eastAsia="仿宋_GB2312" w:cs="仿宋_GB2312"/>
          <w:kern w:val="0"/>
          <w:sz w:val="28"/>
          <w:szCs w:val="28"/>
        </w:rPr>
        <w:t>同一合约品种持仓限额设置 （单位：张）</w:t>
      </w:r>
    </w:p>
    <w:tbl>
      <w:tblPr>
        <w:tblStyle w:val="31"/>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01"/>
        <w:gridCol w:w="1903"/>
        <w:gridCol w:w="1901"/>
        <w:gridCol w:w="2275"/>
      </w:tblGrid>
      <w:tr w14:paraId="23CE50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705" w:type="dxa"/>
            <w:gridSpan w:val="3"/>
            <w:vAlign w:val="center"/>
          </w:tcPr>
          <w:p w14:paraId="7957D88B">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单个账户</w:t>
            </w:r>
          </w:p>
        </w:tc>
        <w:tc>
          <w:tcPr>
            <w:tcW w:w="2275" w:type="dxa"/>
            <w:tcBorders>
              <w:right w:val="single" w:color="auto" w:sz="4" w:space="0"/>
            </w:tcBorders>
            <w:vAlign w:val="center"/>
          </w:tcPr>
          <w:p w14:paraId="62A31027">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期货公司</w:t>
            </w:r>
          </w:p>
        </w:tc>
      </w:tr>
      <w:tr w14:paraId="58B82D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5705" w:type="dxa"/>
            <w:gridSpan w:val="3"/>
            <w:vAlign w:val="center"/>
          </w:tcPr>
          <w:p w14:paraId="0821CEEB">
            <w:pPr>
              <w:jc w:val="center"/>
            </w:pPr>
            <w:r>
              <w:rPr>
                <w:rFonts w:hint="eastAsia" w:ascii="仿宋_GB2312" w:hAnsi="仿宋" w:eastAsia="仿宋_GB2312" w:cs="宋体"/>
                <w:kern w:val="0"/>
                <w:sz w:val="24"/>
                <w:szCs w:val="28"/>
              </w:rPr>
              <w:t>投资者</w:t>
            </w:r>
          </w:p>
          <w:p w14:paraId="1C5A7729">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（包括个人投资者、机构投资者）</w:t>
            </w:r>
          </w:p>
        </w:tc>
        <w:tc>
          <w:tcPr>
            <w:tcW w:w="2275" w:type="dxa"/>
            <w:tcBorders>
              <w:right w:val="single" w:color="auto" w:sz="4" w:space="0"/>
            </w:tcBorders>
            <w:vAlign w:val="center"/>
          </w:tcPr>
          <w:p w14:paraId="660BCB5E">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经纪</w:t>
            </w:r>
          </w:p>
        </w:tc>
      </w:tr>
      <w:tr w14:paraId="0B743E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01" w:type="dxa"/>
            <w:vAlign w:val="center"/>
          </w:tcPr>
          <w:p w14:paraId="2796E20A">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权利仓持仓限额</w:t>
            </w:r>
          </w:p>
        </w:tc>
        <w:tc>
          <w:tcPr>
            <w:tcW w:w="1903" w:type="dxa"/>
            <w:vAlign w:val="center"/>
          </w:tcPr>
          <w:p w14:paraId="5252ED2D">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总持仓限额</w:t>
            </w:r>
          </w:p>
        </w:tc>
        <w:tc>
          <w:tcPr>
            <w:tcW w:w="1901" w:type="dxa"/>
            <w:vAlign w:val="center"/>
          </w:tcPr>
          <w:p w14:paraId="741CC3B4">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单日买入开仓限额</w:t>
            </w:r>
          </w:p>
        </w:tc>
        <w:tc>
          <w:tcPr>
            <w:tcW w:w="2275" w:type="dxa"/>
            <w:tcBorders>
              <w:right w:val="single" w:color="auto" w:sz="4" w:space="0"/>
            </w:tcBorders>
            <w:vAlign w:val="center"/>
          </w:tcPr>
          <w:p w14:paraId="04DE59D1">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总持仓限额</w:t>
            </w:r>
          </w:p>
        </w:tc>
      </w:tr>
      <w:tr w14:paraId="7F8174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901" w:type="dxa"/>
            <w:vAlign w:val="center"/>
          </w:tcPr>
          <w:p w14:paraId="31C9B999">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w:t>
            </w:r>
          </w:p>
        </w:tc>
        <w:tc>
          <w:tcPr>
            <w:tcW w:w="1903" w:type="dxa"/>
            <w:vAlign w:val="center"/>
          </w:tcPr>
          <w:p w14:paraId="3E6174BC">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w:t>
            </w:r>
          </w:p>
        </w:tc>
        <w:tc>
          <w:tcPr>
            <w:tcW w:w="1901" w:type="dxa"/>
            <w:vAlign w:val="center"/>
          </w:tcPr>
          <w:p w14:paraId="4321CF95">
            <w:pPr>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w:t>
            </w:r>
          </w:p>
        </w:tc>
        <w:tc>
          <w:tcPr>
            <w:tcW w:w="2275" w:type="dxa"/>
            <w:tcBorders>
              <w:right w:val="single" w:color="auto" w:sz="4" w:space="0"/>
            </w:tcBorders>
            <w:vAlign w:val="center"/>
          </w:tcPr>
          <w:p w14:paraId="2959F39A">
            <w:pPr>
              <w:widowControl/>
              <w:jc w:val="center"/>
              <w:rPr>
                <w:rFonts w:ascii="仿宋_GB2312" w:hAnsi="仿宋" w:eastAsia="仿宋_GB2312" w:cs="宋体"/>
                <w:kern w:val="0"/>
                <w:sz w:val="24"/>
                <w:szCs w:val="28"/>
              </w:rPr>
            </w:pPr>
            <w:r>
              <w:rPr>
                <w:rFonts w:hint="eastAsia" w:ascii="仿宋_GB2312" w:hAnsi="仿宋" w:eastAsia="仿宋_GB2312" w:cs="宋体"/>
                <w:kern w:val="0"/>
                <w:sz w:val="24"/>
                <w:szCs w:val="28"/>
              </w:rPr>
              <w:t>*</w:t>
            </w:r>
          </w:p>
        </w:tc>
      </w:tr>
    </w:tbl>
    <w:p w14:paraId="6348A7DD">
      <w:pPr>
        <w:spacing w:beforeLines="50" w:afterLines="50"/>
        <w:ind w:firstLine="504" w:firstLineChars="180"/>
        <w:rPr>
          <w:rFonts w:ascii="仿宋_GB2312" w:eastAsia="仿宋_GB2312" w:cs="仿宋_GB2312"/>
          <w:sz w:val="28"/>
          <w:szCs w:val="28"/>
        </w:rPr>
      </w:pPr>
    </w:p>
    <w:p w14:paraId="329CD7CC">
      <w:pPr>
        <w:spacing w:beforeLines="-2147483648" w:afterLines="-2147483648"/>
        <w:ind w:firstLine="560" w:firstLineChars="200"/>
        <w:rPr>
          <w:rFonts w:ascii="Times New Roman" w:hAnsi="Times New Roman" w:eastAsia="楷体_GB2312" w:cs="Times New Roman"/>
          <w:sz w:val="28"/>
          <w:szCs w:val="28"/>
          <w:highlight w:val="none"/>
        </w:rPr>
      </w:pPr>
      <w:bookmarkStart w:id="246" w:name="_Toc452021477"/>
      <w:bookmarkStart w:id="247" w:name="_Toc11016"/>
      <w:bookmarkStart w:id="248" w:name="_Toc23030"/>
      <w:bookmarkStart w:id="249" w:name="_Toc32131"/>
      <w:bookmarkStart w:id="250" w:name="_Toc23658"/>
      <w:bookmarkStart w:id="251" w:name="_Toc20063"/>
      <w:r>
        <w:rPr>
          <w:rFonts w:hint="default" w:ascii="Times New Roman" w:hAnsi="Times New Roman" w:eastAsia="楷体_GB2312" w:cs="Times New Roman"/>
          <w:sz w:val="28"/>
          <w:szCs w:val="28"/>
          <w:highlight w:val="none"/>
        </w:rPr>
        <w:t>（</w:t>
      </w:r>
      <w:r>
        <w:rPr>
          <w:rFonts w:hint="eastAsia" w:ascii="Times New Roman" w:hAnsi="Times New Roman" w:eastAsia="楷体_GB2312" w:cs="Times New Roman"/>
          <w:sz w:val="28"/>
          <w:szCs w:val="28"/>
          <w:highlight w:val="none"/>
          <w:lang w:eastAsia="zh-CN"/>
        </w:rPr>
        <w:t>三</w:t>
      </w:r>
      <w:r>
        <w:rPr>
          <w:rFonts w:hint="default" w:ascii="Times New Roman" w:hAnsi="Times New Roman" w:eastAsia="楷体_GB2312" w:cs="Times New Roman"/>
          <w:sz w:val="28"/>
          <w:szCs w:val="28"/>
          <w:highlight w:val="none"/>
        </w:rPr>
        <w:t>）持仓限额占用预警与调整</w:t>
      </w:r>
      <w:bookmarkEnd w:id="246"/>
      <w:bookmarkEnd w:id="247"/>
      <w:bookmarkEnd w:id="248"/>
      <w:bookmarkEnd w:id="249"/>
      <w:bookmarkEnd w:id="250"/>
      <w:bookmarkEnd w:id="251"/>
    </w:p>
    <w:p w14:paraId="6EEAC65A">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期货公司</w:t>
      </w:r>
      <w:r>
        <w:rPr>
          <w:rFonts w:hint="eastAsia" w:ascii="仿宋_GB2312" w:hAnsi="Times New Roman" w:eastAsia="仿宋_GB2312" w:cs="仿宋_GB2312"/>
          <w:kern w:val="0"/>
          <w:sz w:val="28"/>
          <w:szCs w:val="28"/>
        </w:rPr>
        <w:t>以合约账户为单位对投资者的持仓限额</w:t>
      </w:r>
      <w:r>
        <w:rPr>
          <w:rFonts w:hint="eastAsia" w:ascii="仿宋_GB2312" w:eastAsia="仿宋_GB2312" w:cs="仿宋_GB2312"/>
          <w:sz w:val="28"/>
          <w:szCs w:val="28"/>
        </w:rPr>
        <w:t>进行前端控制。对超过限额导致的申报失败应有提醒。</w:t>
      </w:r>
    </w:p>
    <w:p w14:paraId="2472B114">
      <w:pPr>
        <w:spacing w:beforeLines="50" w:afterLines="50"/>
        <w:ind w:firstLine="504" w:firstLineChars="180"/>
        <w:rPr>
          <w:rFonts w:ascii="仿宋_GB2312" w:hAnsi="Times New Roman" w:eastAsia="仿宋_GB2312" w:cs="仿宋_GB2312"/>
          <w:kern w:val="0"/>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对因</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持仓限额调整</w:t>
      </w:r>
      <w:r>
        <w:rPr>
          <w:rFonts w:hint="eastAsia" w:ascii="仿宋_GB2312" w:hAnsi="Times New Roman" w:eastAsia="仿宋_GB2312" w:cs="仿宋_GB2312"/>
          <w:kern w:val="0"/>
          <w:sz w:val="28"/>
          <w:szCs w:val="28"/>
        </w:rPr>
        <w:t>或投资者申请的持仓限额到期导致投资者持仓超限，</w:t>
      </w:r>
      <w:r>
        <w:rPr>
          <w:rFonts w:hint="eastAsia" w:ascii="仿宋_GB2312" w:eastAsia="仿宋_GB2312" w:cs="仿宋_GB2312"/>
          <w:sz w:val="28"/>
          <w:szCs w:val="28"/>
        </w:rPr>
        <w:t>期货</w:t>
      </w:r>
      <w:r>
        <w:rPr>
          <w:rFonts w:hint="eastAsia" w:ascii="仿宋_GB2312" w:hAnsi="Times New Roman" w:eastAsia="仿宋_GB2312" w:cs="仿宋_GB2312"/>
          <w:kern w:val="0"/>
          <w:sz w:val="28"/>
          <w:szCs w:val="28"/>
        </w:rPr>
        <w:t>公司不需要求投资者自行平仓或对投资者的超额持仓进行强行平仓，但对开仓需按新的持仓限额进行限制。对投资者额度使用情况与申请不符的，期货公司应及时对该投资者限制开仓并要求其自行平仓，同时及时向交易所报告。</w:t>
      </w:r>
    </w:p>
    <w:p w14:paraId="4107245A">
      <w:pPr>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在本所持仓限额范围内，若客户存在频繁的强行平仓、交易违规等情况，期货公司可对客户的持仓限额进行下调，期货公司应当至少提前三个交易日将调整情况告知客户。如客户持仓超过新核定持仓额度，期货公司可采取限制新开仓、要求客户自行平仓等措施。</w:t>
      </w:r>
    </w:p>
    <w:p w14:paraId="57AD9D33">
      <w:pPr>
        <w:ind w:firstLine="560" w:firstLineChars="200"/>
        <w:rPr>
          <w:rFonts w:ascii="仿宋_GB2312" w:eastAsia="仿宋_GB2312" w:cs="仿宋_GB2312"/>
          <w:sz w:val="28"/>
          <w:szCs w:val="28"/>
        </w:rPr>
      </w:pPr>
      <w:r>
        <w:rPr>
          <w:rFonts w:hint="eastAsia" w:ascii="仿宋_GB2312" w:eastAsia="仿宋_GB2312" w:cs="仿宋_GB2312"/>
          <w:sz w:val="28"/>
          <w:szCs w:val="28"/>
        </w:rPr>
        <w:t>若客户主动申请调低持仓限额，期货公司应当同意，并按其申请额度进行配置。</w:t>
      </w:r>
    </w:p>
    <w:p w14:paraId="5206A50B">
      <w:pPr>
        <w:spacing w:beforeLines="50" w:afterLines="50"/>
        <w:ind w:firstLine="504" w:firstLineChars="18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val="en-US" w:eastAsia="zh-CN"/>
        </w:rPr>
        <w:t>4.</w:t>
      </w:r>
      <w:r>
        <w:rPr>
          <w:rFonts w:hint="eastAsia" w:ascii="仿宋_GB2312" w:hAnsi="Times New Roman" w:eastAsia="仿宋_GB2312" w:cs="仿宋_GB2312"/>
          <w:kern w:val="0"/>
          <w:sz w:val="28"/>
          <w:szCs w:val="28"/>
        </w:rPr>
        <w:t>对违反</w:t>
      </w:r>
      <w:r>
        <w:rPr>
          <w:rFonts w:hint="eastAsia" w:ascii="仿宋_GB2312" w:hAnsi="Times New Roman" w:eastAsia="仿宋_GB2312" w:cs="仿宋_GB2312"/>
          <w:kern w:val="0"/>
          <w:sz w:val="28"/>
          <w:szCs w:val="28"/>
          <w:lang w:eastAsia="zh-CN"/>
        </w:rPr>
        <w:t>本所</w:t>
      </w:r>
      <w:r>
        <w:rPr>
          <w:rFonts w:hint="eastAsia" w:ascii="仿宋_GB2312" w:hAnsi="Times New Roman" w:eastAsia="仿宋_GB2312" w:cs="仿宋_GB2312"/>
          <w:kern w:val="0"/>
          <w:sz w:val="28"/>
          <w:szCs w:val="28"/>
        </w:rPr>
        <w:t>规定（不含上述第</w:t>
      </w:r>
      <w:r>
        <w:rPr>
          <w:rFonts w:hint="eastAsia" w:ascii="仿宋_GB2312" w:hAnsi="Times New Roman" w:eastAsia="仿宋_GB2312" w:cs="仿宋_GB2312"/>
          <w:kern w:val="0"/>
          <w:sz w:val="28"/>
          <w:szCs w:val="28"/>
          <w:lang w:val="en-US" w:eastAsia="zh-CN"/>
        </w:rPr>
        <w:t>2</w:t>
      </w:r>
      <w:r>
        <w:rPr>
          <w:rFonts w:hint="eastAsia" w:ascii="仿宋_GB2312" w:hAnsi="Times New Roman" w:eastAsia="仿宋_GB2312" w:cs="仿宋_GB2312"/>
          <w:kern w:val="0"/>
          <w:sz w:val="28"/>
          <w:szCs w:val="28"/>
        </w:rPr>
        <w:t>项）的超额持仓或开仓，如前端控制失效导致持仓超过</w:t>
      </w:r>
      <w:r>
        <w:rPr>
          <w:rFonts w:hint="eastAsia" w:ascii="仿宋_GB2312" w:eastAsia="仿宋_GB2312" w:cs="仿宋_GB2312"/>
          <w:sz w:val="28"/>
          <w:szCs w:val="28"/>
          <w:lang w:eastAsia="zh-CN"/>
        </w:rPr>
        <w:t>本所</w:t>
      </w:r>
      <w:r>
        <w:rPr>
          <w:rFonts w:hint="eastAsia" w:ascii="仿宋_GB2312" w:hAnsi="Times New Roman" w:eastAsia="仿宋_GB2312" w:cs="仿宋_GB2312"/>
          <w:kern w:val="0"/>
          <w:sz w:val="28"/>
          <w:szCs w:val="28"/>
        </w:rPr>
        <w:t>规定水平，期货公司应及时对投资者的超额持仓进行强行平仓，否则</w:t>
      </w:r>
      <w:r>
        <w:rPr>
          <w:rFonts w:hint="eastAsia" w:ascii="仿宋_GB2312" w:hAnsi="Times New Roman" w:eastAsia="仿宋_GB2312" w:cs="仿宋_GB2312"/>
          <w:kern w:val="0"/>
          <w:sz w:val="28"/>
          <w:szCs w:val="28"/>
          <w:lang w:eastAsia="zh-CN"/>
        </w:rPr>
        <w:t>本所</w:t>
      </w:r>
      <w:r>
        <w:rPr>
          <w:rFonts w:hint="eastAsia" w:ascii="仿宋_GB2312" w:hAnsi="Times New Roman" w:eastAsia="仿宋_GB2312" w:cs="仿宋_GB2312"/>
          <w:kern w:val="0"/>
          <w:sz w:val="28"/>
          <w:szCs w:val="28"/>
        </w:rPr>
        <w:t>将按相关规定对期货公司进行处理。</w:t>
      </w:r>
    </w:p>
    <w:p w14:paraId="77F9B23E">
      <w:pPr>
        <w:ind w:firstLine="560" w:firstLineChars="200"/>
        <w:rPr>
          <w:rFonts w:ascii="仿宋_GB2312" w:eastAsia="仿宋_GB2312"/>
          <w:sz w:val="28"/>
          <w:szCs w:val="28"/>
        </w:rPr>
      </w:pP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kern w:val="0"/>
          <w:sz w:val="28"/>
          <w:szCs w:val="28"/>
        </w:rPr>
        <w:t>投资者因套保等需要可以通过期货公司向</w:t>
      </w:r>
      <w:r>
        <w:rPr>
          <w:rFonts w:hint="default" w:ascii="Times New Roman" w:hAnsi="Times New Roman" w:eastAsia="仿宋_GB2312" w:cs="Times New Roman"/>
          <w:kern w:val="0"/>
          <w:sz w:val="28"/>
          <w:szCs w:val="28"/>
          <w:lang w:eastAsia="zh-CN"/>
        </w:rPr>
        <w:t>本所</w:t>
      </w:r>
      <w:r>
        <w:rPr>
          <w:rFonts w:hint="default" w:ascii="Times New Roman" w:hAnsi="Times New Roman" w:eastAsia="仿宋_GB2312" w:cs="Times New Roman"/>
          <w:kern w:val="0"/>
          <w:sz w:val="28"/>
          <w:szCs w:val="28"/>
        </w:rPr>
        <w:t>申请提高持仓限额。</w:t>
      </w:r>
    </w:p>
    <w:p w14:paraId="7C782F6D">
      <w:pPr>
        <w:widowControl/>
        <w:ind w:firstLine="560" w:firstLineChars="200"/>
        <w:jc w:val="left"/>
        <w:rPr>
          <w:rFonts w:ascii="仿宋_GB2312" w:hAnsi="Calibri" w:eastAsia="仿宋_GB2312" w:cs="仿宋_GB2312"/>
          <w:kern w:val="2"/>
          <w:sz w:val="28"/>
          <w:szCs w:val="28"/>
        </w:rPr>
      </w:pPr>
      <w:r>
        <w:rPr>
          <w:rFonts w:hint="default" w:ascii="仿宋_GB2312" w:hAnsi="Calibri" w:eastAsia="仿宋_GB2312" w:cs="仿宋_GB2312"/>
          <w:kern w:val="2"/>
          <w:sz w:val="28"/>
          <w:szCs w:val="28"/>
          <w:lang w:val="en-US" w:eastAsia="zh-CN"/>
        </w:rPr>
        <w:t>6.</w:t>
      </w:r>
      <w:r>
        <w:rPr>
          <w:rFonts w:hint="default" w:ascii="仿宋_GB2312" w:hAnsi="Calibri" w:eastAsia="仿宋_GB2312" w:cs="仿宋_GB2312"/>
          <w:kern w:val="2"/>
          <w:sz w:val="28"/>
          <w:szCs w:val="28"/>
        </w:rPr>
        <w:t>投资者符合本所相关规定可以调高持仓限额的，期货公司应当及时、主动为投资者进行相应的持仓限额调整，无需投资者提交申请，并尽快将持仓限额调整的情况通知到客户。</w:t>
      </w:r>
    </w:p>
    <w:p w14:paraId="0472283C">
      <w:pPr>
        <w:adjustRightInd w:val="0"/>
        <w:snapToGrid w:val="0"/>
        <w:spacing w:line="600" w:lineRule="exact"/>
        <w:ind w:firstLine="560"/>
        <w:jc w:val="left"/>
        <w:rPr>
          <w:rFonts w:ascii="仿宋_GB2312" w:eastAsia="仿宋_GB2312" w:cs="仿宋_GB2312"/>
          <w:sz w:val="28"/>
          <w:szCs w:val="28"/>
        </w:rPr>
      </w:pPr>
      <w:r>
        <w:rPr>
          <w:rFonts w:hint="eastAsia" w:ascii="仿宋_GB2312" w:hAnsi="Times New Roman" w:eastAsia="仿宋_GB2312" w:cs="仿宋_GB2312"/>
          <w:kern w:val="0"/>
          <w:sz w:val="28"/>
          <w:szCs w:val="28"/>
          <w:lang w:val="en-US" w:eastAsia="zh-CN"/>
        </w:rPr>
        <w:t>7.</w:t>
      </w:r>
      <w:r>
        <w:rPr>
          <w:rFonts w:hint="eastAsia" w:ascii="仿宋_GB2312" w:hAnsi="Times New Roman" w:eastAsia="仿宋_GB2312" w:cs="仿宋_GB2312"/>
          <w:kern w:val="0"/>
          <w:sz w:val="28"/>
          <w:szCs w:val="28"/>
        </w:rPr>
        <w:t>投资者持有多个合约账户时，在提供合约账户相关凭证或交易记录的情况下，期货公司可以将其合约账户中最高的持仓限额作为其他合约账户的持仓限额。</w:t>
      </w:r>
    </w:p>
    <w:p w14:paraId="26EE83E4">
      <w:pPr>
        <w:ind w:firstLine="560"/>
        <w:jc w:val="both"/>
        <w:rPr>
          <w:rFonts w:hint="eastAsia" w:ascii="Times New Roman" w:hAnsi="Times New Roman" w:eastAsia="黑体"/>
          <w:sz w:val="28"/>
          <w:szCs w:val="28"/>
        </w:rPr>
      </w:pPr>
      <w:bookmarkStart w:id="252" w:name="_Toc408749995"/>
      <w:bookmarkStart w:id="253" w:name="_Toc9875"/>
      <w:bookmarkStart w:id="254" w:name="_Toc23946985"/>
      <w:bookmarkStart w:id="255" w:name="_Toc20325"/>
      <w:bookmarkStart w:id="256" w:name="_Toc22175"/>
      <w:bookmarkStart w:id="257" w:name="_Toc27189"/>
      <w:r>
        <w:rPr>
          <w:rFonts w:hint="eastAsia" w:ascii="Times New Roman" w:hAnsi="Times New Roman" w:eastAsia="黑体"/>
          <w:sz w:val="28"/>
          <w:szCs w:val="28"/>
        </w:rPr>
        <w:t>二、客户买入额度管理</w:t>
      </w:r>
      <w:bookmarkEnd w:id="252"/>
      <w:r>
        <w:rPr>
          <w:rFonts w:hint="eastAsia" w:ascii="Times New Roman" w:hAnsi="Times New Roman" w:eastAsia="黑体"/>
          <w:sz w:val="28"/>
          <w:szCs w:val="28"/>
        </w:rPr>
        <w:t>（限购）</w:t>
      </w:r>
      <w:bookmarkEnd w:id="253"/>
      <w:bookmarkEnd w:id="254"/>
      <w:bookmarkEnd w:id="255"/>
      <w:bookmarkEnd w:id="256"/>
      <w:bookmarkEnd w:id="257"/>
    </w:p>
    <w:p w14:paraId="65B45BF7">
      <w:pPr>
        <w:spacing w:beforeLines="-2147483648" w:afterLines="-2147483648"/>
        <w:ind w:firstLine="560" w:firstLineChars="200"/>
        <w:rPr>
          <w:rFonts w:ascii="Times New Roman" w:hAnsi="Times New Roman" w:eastAsia="楷体_GB2312" w:cs="Times New Roman"/>
          <w:b w:val="0"/>
          <w:sz w:val="28"/>
          <w:szCs w:val="28"/>
        </w:rPr>
      </w:pPr>
      <w:r>
        <w:rPr>
          <w:rFonts w:hint="default" w:ascii="Times New Roman" w:hAnsi="Times New Roman" w:eastAsia="楷体_GB2312" w:cs="Times New Roman"/>
          <w:b w:val="0"/>
          <w:sz w:val="28"/>
          <w:szCs w:val="28"/>
        </w:rPr>
        <w:t>（一）限购前端控制</w:t>
      </w:r>
    </w:p>
    <w:p w14:paraId="6BED3959">
      <w:pPr>
        <w:ind w:firstLine="560" w:firstLineChars="200"/>
        <w:rPr>
          <w:rFonts w:ascii="仿宋_GB2312" w:eastAsia="仿宋_GB2312" w:cs="仿宋_GB2312"/>
          <w:sz w:val="28"/>
          <w:szCs w:val="28"/>
        </w:rPr>
      </w:pPr>
      <w:r>
        <w:rPr>
          <w:rFonts w:hint="eastAsia" w:ascii="仿宋_GB2312" w:eastAsia="仿宋_GB2312" w:cs="仿宋_GB2312"/>
          <w:sz w:val="28"/>
          <w:szCs w:val="28"/>
        </w:rPr>
        <w:t>股票期权业务对个人投资者实行买入额度管理，即限购。期货公司</w:t>
      </w:r>
      <w:r>
        <w:rPr>
          <w:rFonts w:hint="eastAsia" w:ascii="仿宋_GB2312" w:hAnsi="Times New Roman" w:eastAsia="仿宋_GB2312" w:cs="仿宋_GB2312"/>
          <w:kern w:val="0"/>
          <w:sz w:val="28"/>
          <w:szCs w:val="28"/>
        </w:rPr>
        <w:t>以合约账户为单位对投资者买入金额进行前端控制，</w:t>
      </w:r>
      <w:r>
        <w:rPr>
          <w:rFonts w:hint="eastAsia" w:ascii="仿宋_GB2312" w:eastAsia="仿宋_GB2312" w:cs="仿宋_GB2312"/>
          <w:sz w:val="28"/>
          <w:szCs w:val="28"/>
        </w:rPr>
        <w:t>对超过额度导致的申报失败在交易客户端界面进行提醒及解释。</w:t>
      </w:r>
    </w:p>
    <w:p w14:paraId="74FA09A5">
      <w:pPr>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期货公司可根据自身情况，结合个人客户的资产状况、适当性综合评估结果等因素，规定客户的限购额度，该限额不得超过本所规定的限购额度。期货公司总部负责客户限购额度的审核。</w:t>
      </w:r>
    </w:p>
    <w:p w14:paraId="10DBD08E">
      <w:pPr>
        <w:ind w:firstLine="560" w:firstLineChars="200"/>
        <w:rPr>
          <w:rFonts w:ascii="仿宋_GB2312" w:eastAsia="仿宋_GB2312" w:cs="仿宋_GB2312"/>
          <w:sz w:val="28"/>
          <w:szCs w:val="28"/>
        </w:rPr>
      </w:pPr>
      <w:r>
        <w:rPr>
          <w:rFonts w:hint="eastAsia" w:ascii="仿宋_GB2312" w:eastAsia="仿宋_GB2312" w:cs="仿宋_GB2312"/>
          <w:sz w:val="28"/>
          <w:szCs w:val="28"/>
        </w:rPr>
        <w:t>本所规定个人客户用于</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期权买入开仓的资金规模，不得超过下述金额中较高者（已申请并获本所批准的套保额度账户除外）：</w:t>
      </w:r>
    </w:p>
    <w:p w14:paraId="27CA1F1A">
      <w:pPr>
        <w:numPr>
          <w:ilvl w:val="0"/>
          <w:numId w:val="2"/>
        </w:numPr>
        <w:ind w:firstLine="560" w:firstLineChars="200"/>
        <w:rPr>
          <w:rFonts w:ascii="仿宋_GB2312" w:hAnsi="Times New Roman" w:eastAsia="仿宋_GB2312" w:cs="仿宋_GB2312"/>
          <w:kern w:val="0"/>
          <w:sz w:val="28"/>
          <w:szCs w:val="28"/>
        </w:rPr>
      </w:pPr>
      <w:r>
        <w:rPr>
          <w:rFonts w:hint="eastAsia" w:ascii="仿宋_GB2312" w:eastAsia="仿宋_GB2312" w:cs="仿宋_GB2312"/>
          <w:sz w:val="28"/>
          <w:szCs w:val="28"/>
        </w:rPr>
        <w:t>客户由期货公司托管的</w:t>
      </w:r>
      <w:r>
        <w:rPr>
          <w:rFonts w:hint="eastAsia" w:ascii="仿宋_GB2312" w:hAnsi="Times New Roman" w:eastAsia="仿宋_GB2312" w:cs="仿宋_GB2312"/>
          <w:sz w:val="28"/>
          <w:szCs w:val="28"/>
        </w:rPr>
        <w:t>自有资产余额</w:t>
      </w:r>
      <w:r>
        <w:rPr>
          <w:rFonts w:hint="eastAsia" w:ascii="仿宋_GB2312" w:eastAsia="仿宋_GB2312" w:cs="仿宋_GB2312"/>
          <w:sz w:val="28"/>
          <w:szCs w:val="28"/>
        </w:rPr>
        <w:t xml:space="preserve">10%。 </w:t>
      </w:r>
      <w:r>
        <w:rPr>
          <w:rFonts w:hint="eastAsia" w:ascii="仿宋_GB2312" w:hAnsi="Times New Roman" w:eastAsia="仿宋_GB2312" w:cs="仿宋_GB2312"/>
          <w:kern w:val="0"/>
          <w:sz w:val="28"/>
          <w:szCs w:val="28"/>
        </w:rPr>
        <w:t>对于风险承受能力较强且具备三级交易权限的客户，期货公司可以将其买入金额限额提高至不超过该客户托管在该期货公司的自有资产余额的20%；对于权利仓持仓限额已达到2000张的客户，期货公司可以将其买入金额限额提高至不超过该客户托管在该期货公司的自有资产余额的30%。</w:t>
      </w:r>
    </w:p>
    <w:p w14:paraId="69D70E89">
      <w:pPr>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期货公司可采用投资者最近一次风险承受能力评估结果，投资者的风险等级应不得低于“稳健型”，具体认定由期货公司结合客户的实际情况进行判断。</w:t>
      </w:r>
    </w:p>
    <w:p w14:paraId="6B19B3FC">
      <w:pPr>
        <w:ind w:firstLine="560" w:firstLineChars="200"/>
        <w:rPr>
          <w:rFonts w:ascii="仿宋_GB2312" w:eastAsia="仿宋_GB2312" w:cs="仿宋_GB2312"/>
          <w:sz w:val="28"/>
          <w:szCs w:val="28"/>
        </w:rPr>
      </w:pPr>
      <w:r>
        <w:rPr>
          <w:rFonts w:hint="eastAsia" w:ascii="仿宋_GB2312" w:hAnsi="Times New Roman" w:eastAsia="仿宋_GB2312" w:cs="仿宋_GB2312"/>
          <w:kern w:val="0"/>
          <w:sz w:val="28"/>
          <w:szCs w:val="28"/>
        </w:rPr>
        <w:t>自有资产余额指投资者托管在该期货公司的证券市值与资金账户可用余额（</w:t>
      </w:r>
      <w:r>
        <w:rPr>
          <w:rFonts w:hint="eastAsia" w:ascii="仿宋_GB2312" w:hAnsi="宋体" w:eastAsia="仿宋_GB2312" w:cs="仿宋_GB2312"/>
          <w:color w:val="000000"/>
          <w:sz w:val="28"/>
          <w:szCs w:val="28"/>
        </w:rPr>
        <w:t>包括保证金可用余额</w:t>
      </w:r>
      <w:r>
        <w:rPr>
          <w:rFonts w:hint="eastAsia" w:ascii="仿宋_GB2312" w:hAnsi="Times New Roman" w:eastAsia="仿宋_GB2312" w:cs="仿宋_GB2312"/>
          <w:kern w:val="0"/>
          <w:sz w:val="28"/>
          <w:szCs w:val="28"/>
        </w:rPr>
        <w:t>）。其中，证券市值包括</w:t>
      </w:r>
      <w:r>
        <w:rPr>
          <w:rFonts w:hint="eastAsia" w:ascii="仿宋_GB2312" w:hAnsi="Times New Roman" w:eastAsia="仿宋_GB2312" w:cs="仿宋_GB2312"/>
          <w:kern w:val="0"/>
          <w:sz w:val="28"/>
          <w:szCs w:val="28"/>
          <w:lang w:eastAsia="zh-CN"/>
        </w:rPr>
        <w:t>股票</w:t>
      </w:r>
      <w:r>
        <w:rPr>
          <w:rFonts w:hint="eastAsia" w:ascii="仿宋_GB2312" w:hAnsi="Times New Roman" w:eastAsia="仿宋_GB2312" w:cs="仿宋_GB2312"/>
          <w:kern w:val="0"/>
          <w:sz w:val="28"/>
          <w:szCs w:val="28"/>
        </w:rPr>
        <w:t>期权合约市值，计算方法为：</w:t>
      </w:r>
      <w:r>
        <w:rPr>
          <w:rFonts w:hint="eastAsia" w:ascii="仿宋_GB2312" w:hAnsi="Times New Roman" w:eastAsia="仿宋_GB2312" w:cs="仿宋_GB2312"/>
          <w:kern w:val="0"/>
          <w:sz w:val="28"/>
          <w:szCs w:val="28"/>
          <w:lang w:eastAsia="zh-CN"/>
        </w:rPr>
        <w:t>股票</w:t>
      </w:r>
      <w:r>
        <w:rPr>
          <w:rFonts w:hint="eastAsia" w:ascii="仿宋_GB2312" w:hAnsi="Times New Roman" w:eastAsia="仿宋_GB2312" w:cs="仿宋_GB2312"/>
          <w:kern w:val="0"/>
          <w:sz w:val="28"/>
          <w:szCs w:val="28"/>
        </w:rPr>
        <w:t>期权合约市值=∑期权合约实时成交价或最新结算价×合约单位×合约张数×（±1）。当投资者持有权利仓时，</w:t>
      </w:r>
      <w:r>
        <w:rPr>
          <w:rFonts w:hint="eastAsia" w:ascii="仿宋_GB2312" w:hAnsi="Times New Roman" w:eastAsia="仿宋_GB2312" w:cs="仿宋_GB2312"/>
          <w:kern w:val="0"/>
          <w:sz w:val="28"/>
          <w:szCs w:val="28"/>
          <w:lang w:eastAsia="zh-CN"/>
        </w:rPr>
        <w:t>股票</w:t>
      </w:r>
      <w:r>
        <w:rPr>
          <w:rFonts w:hint="eastAsia" w:ascii="仿宋_GB2312" w:hAnsi="Times New Roman" w:eastAsia="仿宋_GB2312" w:cs="仿宋_GB2312"/>
          <w:kern w:val="0"/>
          <w:sz w:val="28"/>
          <w:szCs w:val="28"/>
        </w:rPr>
        <w:t>期权合约市值计为正值；当投资者持有义务仓时，</w:t>
      </w:r>
      <w:r>
        <w:rPr>
          <w:rFonts w:hint="eastAsia" w:ascii="仿宋_GB2312" w:hAnsi="Times New Roman" w:eastAsia="仿宋_GB2312" w:cs="仿宋_GB2312"/>
          <w:kern w:val="0"/>
          <w:sz w:val="28"/>
          <w:szCs w:val="28"/>
          <w:lang w:eastAsia="zh-CN"/>
        </w:rPr>
        <w:t>股票</w:t>
      </w:r>
      <w:r>
        <w:rPr>
          <w:rFonts w:hint="eastAsia" w:ascii="仿宋_GB2312" w:hAnsi="Times New Roman" w:eastAsia="仿宋_GB2312" w:cs="仿宋_GB2312"/>
          <w:kern w:val="0"/>
          <w:sz w:val="28"/>
          <w:szCs w:val="28"/>
        </w:rPr>
        <w:t>期权合约市值计为负值。</w:t>
      </w:r>
    </w:p>
    <w:p w14:paraId="047D8CF5">
      <w:pPr>
        <w:ind w:firstLine="560" w:firstLineChars="200"/>
        <w:rPr>
          <w:rFonts w:ascii="仿宋_GB2312" w:eastAsia="仿宋_GB2312" w:cs="仿宋_GB2312"/>
          <w:sz w:val="28"/>
          <w:szCs w:val="28"/>
        </w:rPr>
      </w:pPr>
      <w:r>
        <w:rPr>
          <w:rFonts w:hint="eastAsia" w:ascii="仿宋_GB2312" w:eastAsia="仿宋_GB2312" w:cs="仿宋_GB2312"/>
          <w:sz w:val="28"/>
          <w:szCs w:val="28"/>
        </w:rPr>
        <w:t>（2）前6个月日均持有沪</w:t>
      </w:r>
      <w:r>
        <w:rPr>
          <w:rFonts w:hint="default" w:ascii="Times New Roman" w:hAnsi="Times New Roman" w:eastAsia="仿宋_GB2312" w:cs="Times New Roman"/>
          <w:sz w:val="28"/>
          <w:szCs w:val="28"/>
        </w:rPr>
        <w:t>深</w:t>
      </w:r>
      <w:r>
        <w:rPr>
          <w:rFonts w:hint="eastAsia" w:ascii="仿宋_GB2312" w:eastAsia="仿宋_GB2312" w:cs="仿宋_GB2312"/>
          <w:sz w:val="28"/>
          <w:szCs w:val="28"/>
        </w:rPr>
        <w:t>市证券市值的20%。</w:t>
      </w:r>
    </w:p>
    <w:p w14:paraId="553C0957">
      <w:pPr>
        <w:ind w:firstLine="560" w:firstLineChars="200"/>
        <w:rPr>
          <w:rFonts w:ascii="仿宋_GB2312" w:eastAsia="仿宋_GB2312" w:cs="仿宋_GB2312"/>
          <w:sz w:val="28"/>
          <w:szCs w:val="28"/>
        </w:rPr>
      </w:pPr>
      <w:r>
        <w:rPr>
          <w:rFonts w:hint="eastAsia" w:ascii="仿宋_GB2312" w:eastAsia="仿宋_GB2312" w:cs="仿宋_GB2312"/>
          <w:sz w:val="28"/>
          <w:szCs w:val="28"/>
        </w:rPr>
        <w:t>买入金额上限由期货公司计算并予以前端控制。买入金额按万取整, 如max{</w:t>
      </w:r>
      <w:r>
        <w:rPr>
          <w:rFonts w:hint="eastAsia" w:ascii="仿宋_GB2312" w:hAnsi="Times New Roman" w:eastAsia="仿宋_GB2312" w:cs="仿宋_GB2312"/>
          <w:sz w:val="28"/>
          <w:szCs w:val="28"/>
        </w:rPr>
        <w:t>自有资产余额</w:t>
      </w:r>
      <w:r>
        <w:rPr>
          <w:rFonts w:hint="eastAsia" w:ascii="仿宋_GB2312" w:eastAsia="仿宋_GB2312" w:cs="仿宋_GB2312"/>
          <w:sz w:val="28"/>
          <w:szCs w:val="28"/>
        </w:rPr>
        <w:t>的10%，前6个月日均持有沪市证券市值的20%}=max{4.3万，9.5万}，应设为9万。买入金额不足1万的，设为1万。</w:t>
      </w:r>
    </w:p>
    <w:p w14:paraId="52241412">
      <w:pPr>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期货公司前端控制参考算法（对每笔买入开仓申报）：∑（该账户持有各合约权利仓持仓张数</w:t>
      </w:r>
      <w:r>
        <w:rPr>
          <w:rFonts w:ascii="Times New Roman" w:hAnsi="Times New Roman" w:eastAsia="仿宋_GB2312"/>
          <w:sz w:val="28"/>
          <w:szCs w:val="28"/>
        </w:rPr>
        <w:t>×</w:t>
      </w:r>
      <w:r>
        <w:rPr>
          <w:rFonts w:hint="eastAsia" w:ascii="仿宋_GB2312" w:hAnsi="Times New Roman" w:eastAsia="仿宋_GB2312" w:cs="仿宋_GB2312"/>
          <w:kern w:val="0"/>
          <w:sz w:val="28"/>
          <w:szCs w:val="28"/>
        </w:rPr>
        <w:t>持仓成本）+已申报买入开仓但未成交金额+该笔买入金额&gt;买入额度（由期货公司核定并向</w:t>
      </w:r>
      <w:r>
        <w:rPr>
          <w:rFonts w:hint="eastAsia" w:ascii="仿宋_GB2312" w:hAnsi="Times New Roman" w:eastAsia="仿宋_GB2312" w:cs="仿宋_GB2312"/>
          <w:kern w:val="0"/>
          <w:sz w:val="28"/>
          <w:szCs w:val="28"/>
          <w:lang w:eastAsia="zh-CN"/>
        </w:rPr>
        <w:t>本所</w:t>
      </w:r>
      <w:r>
        <w:rPr>
          <w:rFonts w:hint="eastAsia" w:ascii="仿宋_GB2312" w:hAnsi="Times New Roman" w:eastAsia="仿宋_GB2312" w:cs="仿宋_GB2312"/>
          <w:kern w:val="0"/>
          <w:sz w:val="28"/>
          <w:szCs w:val="28"/>
        </w:rPr>
        <w:t>报备的额度），则该笔申报无效。</w:t>
      </w:r>
    </w:p>
    <w:p w14:paraId="7A4E0C49">
      <w:pPr>
        <w:spacing w:before="0" w:beforeLines="-2147483648" w:after="0" w:afterLines="-2147483648"/>
        <w:ind w:firstLine="560" w:firstLineChars="200"/>
        <w:rPr>
          <w:rFonts w:ascii="Times New Roman" w:hAnsi="Times New Roman" w:eastAsia="楷体_GB2312" w:cs="Times New Roman"/>
          <w:kern w:val="2"/>
          <w:sz w:val="28"/>
          <w:szCs w:val="28"/>
        </w:rPr>
      </w:pPr>
      <w:r>
        <w:rPr>
          <w:rFonts w:hint="default" w:ascii="Times New Roman" w:hAnsi="Times New Roman" w:eastAsia="楷体_GB2312" w:cs="Times New Roman"/>
          <w:kern w:val="2"/>
          <w:sz w:val="28"/>
          <w:szCs w:val="28"/>
        </w:rPr>
        <w:t>（二）限购额度调整</w:t>
      </w:r>
    </w:p>
    <w:p w14:paraId="3CED9C8D">
      <w:pPr>
        <w:spacing w:before="156" w:after="156"/>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val="en-US" w:eastAsia="zh-CN"/>
        </w:rPr>
        <w:t>1.</w:t>
      </w:r>
      <w:r>
        <w:rPr>
          <w:rFonts w:hint="eastAsia" w:ascii="仿宋_GB2312" w:hAnsi="Times New Roman" w:eastAsia="仿宋_GB2312" w:cs="仿宋_GB2312"/>
          <w:kern w:val="0"/>
          <w:sz w:val="28"/>
          <w:szCs w:val="28"/>
        </w:rPr>
        <w:t>期货公司日常应接受客户提高或降低买入额度的申请，经审核通过后生效。</w:t>
      </w:r>
    </w:p>
    <w:p w14:paraId="00810F78">
      <w:pPr>
        <w:spacing w:before="156" w:after="156"/>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val="en-US" w:eastAsia="zh-CN"/>
        </w:rPr>
        <w:t>2.</w:t>
      </w:r>
      <w:r>
        <w:rPr>
          <w:rFonts w:hint="eastAsia" w:ascii="仿宋_GB2312" w:hAnsi="Times New Roman" w:eastAsia="仿宋_GB2312" w:cs="仿宋_GB2312"/>
          <w:kern w:val="0"/>
          <w:sz w:val="28"/>
          <w:szCs w:val="28"/>
        </w:rPr>
        <w:t>期货公司可自行设定针对客户买入额度的调整频率，但每个自然年度至少调整一次。例如，2015年开户的客户（包括尚未调整和调整过买入额度的客户），2016年度应至少调整一次，具体调整时间各期权经营机构可以自行确定。额度调整下一交易日生效，期货公司应及时提醒客户额度变更情况。</w:t>
      </w:r>
    </w:p>
    <w:p w14:paraId="2B8A3EB4">
      <w:pPr>
        <w:spacing w:before="156" w:after="156"/>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val="en-US" w:eastAsia="zh-CN"/>
        </w:rPr>
        <w:t>3.</w:t>
      </w:r>
      <w:r>
        <w:rPr>
          <w:rFonts w:hint="eastAsia" w:ascii="仿宋_GB2312" w:hAnsi="Times New Roman" w:eastAsia="仿宋_GB2312" w:cs="仿宋_GB2312"/>
          <w:kern w:val="0"/>
          <w:sz w:val="28"/>
          <w:szCs w:val="28"/>
        </w:rPr>
        <w:t>期货公司对客户买入额度调整后,应按调整后的买入额度对客户进行前端控制，如存在客户买入持仓超过新核定买入额度或调整后的买入额度为零的,不需要求客户进行平仓（对因额度调整导致的持仓超限需要技术系统进行区分）,该客户现有持仓可以持有到期，但不能新增权利仓持仓。</w:t>
      </w:r>
    </w:p>
    <w:p w14:paraId="795A9ABE">
      <w:pPr>
        <w:ind w:firstLine="560" w:firstLineChars="200"/>
        <w:rPr>
          <w:rFonts w:ascii="仿宋_GB2312" w:eastAsia="仿宋_GB2312" w:cs="仿宋_GB2312"/>
          <w:sz w:val="28"/>
          <w:szCs w:val="28"/>
        </w:rPr>
      </w:pPr>
      <w:r>
        <w:rPr>
          <w:rFonts w:hint="eastAsia" w:ascii="仿宋_GB2312" w:hAnsi="Times New Roman" w:eastAsia="仿宋_GB2312" w:cs="仿宋_GB2312"/>
          <w:kern w:val="0"/>
          <w:sz w:val="28"/>
          <w:szCs w:val="28"/>
          <w:lang w:val="en-US" w:eastAsia="zh-CN"/>
        </w:rPr>
        <w:t>4.</w:t>
      </w:r>
      <w:r>
        <w:rPr>
          <w:rFonts w:hint="eastAsia" w:ascii="仿宋_GB2312" w:eastAsia="仿宋_GB2312" w:cs="仿宋_GB2312"/>
          <w:sz w:val="28"/>
          <w:szCs w:val="28"/>
        </w:rPr>
        <w:t>对于存在频繁强平记录和交易违规情况的客户，期货公司可调低限购额度，调整后期货公司应及时告知客户。</w:t>
      </w:r>
    </w:p>
    <w:p w14:paraId="1ABCB0F6">
      <w:pPr>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5.</w:t>
      </w:r>
      <w:r>
        <w:rPr>
          <w:rFonts w:hint="eastAsia" w:ascii="仿宋_GB2312" w:eastAsia="仿宋_GB2312" w:cs="仿宋_GB2312"/>
          <w:sz w:val="28"/>
          <w:szCs w:val="28"/>
        </w:rPr>
        <w:t>如本所进行限购额度调整，期货公司须根据本所最新标准，结合公司限购额度计算方法，对客户限购额度进行统一调整。调整后期货公司应及时向客户公布调整信息。</w:t>
      </w:r>
    </w:p>
    <w:p w14:paraId="128205D2">
      <w:pPr>
        <w:widowControl/>
        <w:jc w:val="left"/>
        <w:rPr>
          <w:rFonts w:ascii="仿宋_GB2312" w:hAnsi="Times New Roman" w:eastAsia="仿宋_GB2312"/>
          <w:b/>
          <w:bCs/>
          <w:sz w:val="28"/>
          <w:szCs w:val="28"/>
        </w:rPr>
      </w:pPr>
    </w:p>
    <w:p w14:paraId="5AB8ABD7">
      <w:pPr>
        <w:pStyle w:val="5"/>
        <w:spacing w:beforeLines="50" w:afterLines="50"/>
        <w:ind w:firstLine="0" w:firstLineChars="0"/>
        <w:jc w:val="center"/>
        <w:rPr>
          <w:rFonts w:ascii="黑体" w:hAnsi="黑体" w:eastAsia="黑体"/>
          <w:sz w:val="32"/>
        </w:rPr>
      </w:pPr>
      <w:bookmarkStart w:id="258" w:name="_Toc5102"/>
      <w:bookmarkStart w:id="259" w:name="_Toc7064"/>
      <w:bookmarkStart w:id="260" w:name="_Toc23946986"/>
      <w:bookmarkStart w:id="261" w:name="_Toc10064"/>
      <w:bookmarkStart w:id="262" w:name="_Toc408746737"/>
      <w:bookmarkStart w:id="263" w:name="_Toc25767"/>
      <w:r>
        <w:rPr>
          <w:rFonts w:hint="eastAsia" w:ascii="黑体" w:hAnsi="黑体" w:eastAsia="黑体"/>
          <w:sz w:val="32"/>
        </w:rPr>
        <w:t>第六章 保证金管理</w:t>
      </w:r>
      <w:bookmarkEnd w:id="258"/>
      <w:bookmarkEnd w:id="259"/>
      <w:bookmarkEnd w:id="260"/>
      <w:bookmarkEnd w:id="261"/>
      <w:bookmarkEnd w:id="262"/>
      <w:bookmarkEnd w:id="263"/>
    </w:p>
    <w:p w14:paraId="12CFEAEC">
      <w:pPr>
        <w:spacing w:before="0" w:beforeLines="-2147483648" w:after="0" w:afterLines="-2147483648"/>
        <w:ind w:firstLine="560"/>
        <w:rPr>
          <w:rFonts w:ascii="Times New Roman" w:hAnsi="Times New Roman" w:eastAsia="黑体"/>
          <w:sz w:val="28"/>
          <w:szCs w:val="28"/>
        </w:rPr>
      </w:pPr>
      <w:bookmarkStart w:id="264" w:name="_Toc26021"/>
      <w:bookmarkStart w:id="265" w:name="_Toc23946987"/>
      <w:bookmarkStart w:id="266" w:name="_Toc3702"/>
      <w:bookmarkStart w:id="267" w:name="_Toc11249"/>
      <w:bookmarkStart w:id="268" w:name="_Toc408746738"/>
      <w:bookmarkStart w:id="269" w:name="_Toc7529"/>
      <w:r>
        <w:rPr>
          <w:rFonts w:hint="default" w:ascii="Times New Roman" w:hAnsi="Times New Roman" w:eastAsia="黑体"/>
          <w:sz w:val="28"/>
          <w:szCs w:val="28"/>
        </w:rPr>
        <w:t>一、客户保证金管理</w:t>
      </w:r>
      <w:bookmarkEnd w:id="264"/>
      <w:bookmarkEnd w:id="265"/>
      <w:bookmarkEnd w:id="266"/>
      <w:bookmarkEnd w:id="267"/>
      <w:bookmarkEnd w:id="268"/>
      <w:bookmarkEnd w:id="269"/>
    </w:p>
    <w:p w14:paraId="1D8E9207">
      <w:pPr>
        <w:spacing w:beforeLines="-2147483648" w:afterLines="-2147483648" w:line="240" w:lineRule="auto"/>
        <w:ind w:firstLine="560" w:firstLineChars="200"/>
        <w:rPr>
          <w:rFonts w:ascii="Times New Roman" w:hAnsi="Times New Roman" w:eastAsia="楷体_GB2312"/>
          <w:sz w:val="28"/>
          <w:szCs w:val="28"/>
        </w:rPr>
      </w:pPr>
      <w:r>
        <w:rPr>
          <w:rFonts w:hint="default" w:ascii="Times New Roman" w:hAnsi="Times New Roman" w:eastAsia="楷体_GB2312"/>
          <w:sz w:val="28"/>
          <w:szCs w:val="28"/>
        </w:rPr>
        <w:t xml:space="preserve">（一）保证金水平 </w:t>
      </w:r>
    </w:p>
    <w:p w14:paraId="040BF4EF">
      <w:pPr>
        <w:spacing w:beforeLines="50" w:afterLines="50" w:line="360" w:lineRule="auto"/>
        <w:ind w:firstLine="504" w:firstLineChars="180"/>
        <w:rPr>
          <w:rFonts w:ascii="仿宋_GB2312" w:hAnsi="Times New Roman" w:eastAsia="仿宋_GB2312"/>
          <w:sz w:val="28"/>
          <w:szCs w:val="28"/>
        </w:rPr>
      </w:pPr>
      <w:r>
        <w:rPr>
          <w:rFonts w:hint="eastAsia" w:ascii="仿宋_GB2312" w:hAnsi="Times New Roman" w:eastAsia="仿宋_GB2312"/>
          <w:sz w:val="28"/>
          <w:szCs w:val="28"/>
        </w:rPr>
        <w:t>期货公司可按线性、非线性</w:t>
      </w:r>
      <w:r>
        <w:rPr>
          <w:rFonts w:hint="eastAsia" w:ascii="仿宋_GB2312" w:eastAsia="仿宋_GB2312"/>
          <w:sz w:val="28"/>
          <w:szCs w:val="28"/>
        </w:rPr>
        <w:t>、组合策略</w:t>
      </w:r>
      <w:r>
        <w:rPr>
          <w:rFonts w:hint="eastAsia" w:ascii="仿宋_GB2312" w:hAnsi="Times New Roman" w:eastAsia="仿宋_GB2312"/>
          <w:sz w:val="28"/>
          <w:szCs w:val="28"/>
        </w:rPr>
        <w:t>或其他可有效控制保证金水平的方式向单个客户收取保证金，可针对不同客户设定不同的保证金水平，但不低于</w:t>
      </w:r>
      <w:r>
        <w:rPr>
          <w:rFonts w:hint="eastAsia" w:ascii="仿宋_GB2312" w:eastAsia="仿宋_GB2312" w:cs="仿宋_GB2312"/>
          <w:sz w:val="28"/>
          <w:szCs w:val="28"/>
        </w:rPr>
        <w:t>《风控办法》</w:t>
      </w:r>
      <w:r>
        <w:rPr>
          <w:rFonts w:hint="eastAsia" w:ascii="仿宋_GB2312" w:hAnsi="Times New Roman" w:eastAsia="仿宋_GB2312"/>
          <w:sz w:val="28"/>
          <w:szCs w:val="28"/>
        </w:rPr>
        <w:t>要求的水平，即所司保证金标准。期货公司对于客户认沽期权卖出开仓时所收取的保证金最高不应超过行权价与合约单位的乘积。</w:t>
      </w:r>
    </w:p>
    <w:p w14:paraId="626388E0">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收取方法举例一：</w:t>
      </w:r>
    </w:p>
    <w:p w14:paraId="46F56F7E">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保证金线性收取方式：在所司保证金标准的基础上整体设置收取比例。假如期货公司设置了20%的上浮比例，那么每张ETF认购期权维持保证金={结算价+Max（12%×合约标的收盘价-认购期权虚值，7%×标的收盘价）}</w:t>
      </w:r>
      <w:r>
        <w:rPr>
          <w:rFonts w:ascii="Times New Roman" w:hAnsi="Times New Roman" w:eastAsia="仿宋_GB2312"/>
          <w:sz w:val="28"/>
          <w:szCs w:val="28"/>
        </w:rPr>
        <w:t>×</w:t>
      </w:r>
      <w:r>
        <w:rPr>
          <w:rFonts w:hint="eastAsia" w:ascii="仿宋_GB2312" w:eastAsia="仿宋_GB2312" w:cs="仿宋_GB2312"/>
          <w:sz w:val="28"/>
          <w:szCs w:val="28"/>
        </w:rPr>
        <w:t>合约单位</w:t>
      </w:r>
      <w:r>
        <w:rPr>
          <w:rFonts w:ascii="Times New Roman" w:hAnsi="Times New Roman" w:eastAsia="仿宋_GB2312"/>
          <w:sz w:val="28"/>
          <w:szCs w:val="28"/>
        </w:rPr>
        <w:t>×</w:t>
      </w:r>
      <w:r>
        <w:rPr>
          <w:rFonts w:hint="eastAsia" w:ascii="仿宋_GB2312" w:eastAsia="仿宋_GB2312" w:cs="仿宋_GB2312"/>
          <w:sz w:val="28"/>
          <w:szCs w:val="28"/>
        </w:rPr>
        <w:t>1.2。</w:t>
      </w:r>
    </w:p>
    <w:p w14:paraId="06040857">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收取方法举例二：</w:t>
      </w:r>
    </w:p>
    <w:p w14:paraId="39846864">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保证金非线性收取方式：调整《风控办法》保证金收取公式里的个别或所有参数。假如期货公司将按合约标的收盘价的12%调整为15%，那么每张ETF认购期权维持保证金={结算价+Max（15%×合约标的收盘价-认购期权虚值，7%×标的收盘价）}</w:t>
      </w:r>
      <w:r>
        <w:rPr>
          <w:rFonts w:ascii="Times New Roman" w:hAnsi="Times New Roman" w:eastAsia="仿宋_GB2312"/>
          <w:sz w:val="28"/>
          <w:szCs w:val="28"/>
        </w:rPr>
        <w:t>×</w:t>
      </w:r>
      <w:r>
        <w:rPr>
          <w:rFonts w:hint="eastAsia" w:ascii="仿宋_GB2312" w:eastAsia="仿宋_GB2312" w:cs="仿宋_GB2312"/>
          <w:sz w:val="28"/>
          <w:szCs w:val="28"/>
        </w:rPr>
        <w:t>合约单位。</w:t>
      </w:r>
    </w:p>
    <w:p w14:paraId="0E72BB7A">
      <w:pPr>
        <w:spacing w:beforeLines="50" w:afterLines="50"/>
        <w:ind w:firstLine="504" w:firstLineChars="180"/>
        <w:rPr>
          <w:rFonts w:ascii="仿宋_GB2312" w:eastAsia="仿宋_GB2312"/>
          <w:sz w:val="28"/>
          <w:szCs w:val="28"/>
        </w:rPr>
      </w:pPr>
      <w:r>
        <w:rPr>
          <w:rFonts w:hint="eastAsia" w:ascii="仿宋_GB2312" w:eastAsia="仿宋_GB2312"/>
          <w:sz w:val="28"/>
          <w:szCs w:val="28"/>
        </w:rPr>
        <w:t>收取方法举例三：</w:t>
      </w:r>
    </w:p>
    <w:p w14:paraId="7EDD6360">
      <w:pPr>
        <w:spacing w:beforeLines="50" w:afterLines="50"/>
        <w:ind w:firstLine="504" w:firstLineChars="180"/>
        <w:rPr>
          <w:rFonts w:ascii="仿宋_GB2312" w:eastAsia="仿宋_GB2312"/>
          <w:sz w:val="28"/>
          <w:szCs w:val="28"/>
        </w:rPr>
      </w:pPr>
      <w:r>
        <w:rPr>
          <w:rFonts w:hint="eastAsia" w:ascii="仿宋_GB2312" w:eastAsia="仿宋_GB2312"/>
          <w:sz w:val="28"/>
          <w:szCs w:val="28"/>
        </w:rPr>
        <w:t>组合策略收取方式：按照组合策略收取保证金的，期货公司为客户减免收取的保证金金额不高于交易所减免收取的金额。</w:t>
      </w:r>
    </w:p>
    <w:p w14:paraId="5553C073">
      <w:pPr>
        <w:spacing w:beforeLines="50" w:afterLines="50"/>
        <w:ind w:firstLine="560" w:firstLineChars="200"/>
        <w:rPr>
          <w:rFonts w:ascii="仿宋_GB2312" w:eastAsia="仿宋_GB2312"/>
          <w:sz w:val="28"/>
          <w:szCs w:val="28"/>
        </w:rPr>
      </w:pPr>
      <w:r>
        <w:rPr>
          <w:rFonts w:hint="eastAsia" w:ascii="仿宋_GB2312" w:eastAsia="仿宋_GB2312"/>
          <w:sz w:val="28"/>
          <w:szCs w:val="28"/>
        </w:rPr>
        <w:t>期货公司可按其与客户在经纪业务合同中的约定，在临近组合策略自动解除日，提前按照解除组合后应收保证金水平收取维持保证金或提前解除组合。</w:t>
      </w:r>
    </w:p>
    <w:p w14:paraId="72C2B710">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期货公司按线性、非线性、组合策略或其他可有效控制确定的保证金水平时，在参数设置或调整时需要重点考虑以下几点因素：</w:t>
      </w:r>
    </w:p>
    <w:p w14:paraId="0D51D798">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可结合义务仓合约虚值或实值程度设置不同参数，使得深度虚值、轻度虚值、轻度实值和深度实值等不同状态的合约所收保证金的参数配置不一致；</w:t>
      </w:r>
    </w:p>
    <w:p w14:paraId="274E26FE">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临近行权日的参数调整；</w:t>
      </w:r>
    </w:p>
    <w:p w14:paraId="271BCAF7">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临近较长节假日的参数调整；</w:t>
      </w:r>
    </w:p>
    <w:p w14:paraId="40D159FA">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4.</w:t>
      </w:r>
      <w:r>
        <w:rPr>
          <w:rFonts w:hint="eastAsia" w:ascii="仿宋_GB2312" w:eastAsia="仿宋_GB2312" w:cs="仿宋_GB2312"/>
          <w:sz w:val="28"/>
          <w:szCs w:val="28"/>
        </w:rPr>
        <w:t>市场出现异常情况时的参数调整;</w:t>
      </w:r>
    </w:p>
    <w:p w14:paraId="6A4C840F">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5.</w:t>
      </w:r>
      <w:r>
        <w:rPr>
          <w:rFonts w:hint="eastAsia" w:ascii="仿宋_GB2312" w:eastAsia="仿宋_GB2312" w:cs="仿宋_GB2312"/>
          <w:sz w:val="28"/>
          <w:szCs w:val="28"/>
        </w:rPr>
        <w:t>针对不同客户设定差异化参数；</w:t>
      </w:r>
    </w:p>
    <w:p w14:paraId="639DB62C">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6.</w:t>
      </w:r>
      <w:r>
        <w:rPr>
          <w:rFonts w:hint="eastAsia" w:ascii="仿宋_GB2312" w:eastAsia="仿宋_GB2312" w:cs="仿宋_GB2312"/>
          <w:sz w:val="28"/>
          <w:szCs w:val="28"/>
        </w:rPr>
        <w:t>根据风险压力测试或相关风险评估结果及时进行调整等。</w:t>
      </w:r>
    </w:p>
    <w:p w14:paraId="70206EE5">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虚值程度公式如下：</w:t>
      </w:r>
    </w:p>
    <w:p w14:paraId="16D1BE47">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认购期权虚值程度=（认购期权合约行权价-标的证券收盘价）/标的证券收盘价</w:t>
      </w:r>
    </w:p>
    <w:p w14:paraId="1939C6C4">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认沽期权虚值程度=（标的证券收盘价-认沽期权合约行权价）/标的证券收盘价</w:t>
      </w:r>
    </w:p>
    <w:p w14:paraId="752512DD">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盘中监控取标的证券前收盘价，盘后监控取标的证券当日收盘价。上述计算结果为负值时，该期权为实值期权，实值程度为该计算结果的绝对值。</w:t>
      </w:r>
    </w:p>
    <w:p w14:paraId="00CDD013">
      <w:pPr>
        <w:ind w:firstLine="560" w:firstLineChars="200"/>
        <w:rPr>
          <w:rFonts w:ascii="仿宋_GB2312" w:eastAsia="仿宋_GB2312" w:cs="仿宋_GB2312"/>
          <w:sz w:val="28"/>
          <w:szCs w:val="28"/>
        </w:rPr>
      </w:pPr>
      <w:r>
        <w:rPr>
          <w:rFonts w:hint="eastAsia" w:ascii="仿宋_GB2312" w:eastAsia="仿宋_GB2312" w:cs="仿宋_GB2312"/>
          <w:sz w:val="28"/>
          <w:szCs w:val="28"/>
        </w:rPr>
        <w:t>虚值程度和实值程度的参数配置可以由期货公司自行定义。如对ETF期权，轻度虚值可设置为：认购或认沽期权虚值程度4%-8%，深度虚值可设置为：认购或认沽期权虚值程度</w:t>
      </w:r>
      <w:r>
        <w:rPr>
          <w:rFonts w:ascii="Times New Roman" w:hAnsi="Times New Roman" w:eastAsia="仿宋_GB2312"/>
          <w:sz w:val="28"/>
          <w:szCs w:val="28"/>
        </w:rPr>
        <w:t>≥</w:t>
      </w:r>
      <w:r>
        <w:rPr>
          <w:rFonts w:hint="eastAsia" w:ascii="仿宋_GB2312" w:eastAsia="仿宋_GB2312" w:cs="仿宋_GB2312"/>
          <w:sz w:val="28"/>
          <w:szCs w:val="28"/>
        </w:rPr>
        <w:t>8%。亦可用其他方法定义虚值程度和实值程度。</w:t>
      </w:r>
    </w:p>
    <w:p w14:paraId="7C6C1D8E">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期货公司应在投资者签署开户协议时，向客户明确可能导致保证金参数水平调整的情形。若期货公司调整保证金水平参数设置，应当通过邮件、短信、交易客户端等渠道做好通知提醒工作。</w:t>
      </w:r>
    </w:p>
    <w:p w14:paraId="5D7ECF1A">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（二）保证金收取</w:t>
      </w:r>
    </w:p>
    <w:p w14:paraId="2D42E34F">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盘中开仓保证金收取</w:t>
      </w:r>
    </w:p>
    <w:p w14:paraId="47397906">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对同一期权合约，投资者可在交易时段（9</w:t>
      </w:r>
      <w:r>
        <w:rPr>
          <w:rFonts w:hint="eastAsia" w:ascii="仿宋_GB2312" w:eastAsia="仿宋_GB2312" w:cs="仿宋_GB2312"/>
          <w:sz w:val="28"/>
          <w:szCs w:val="28"/>
          <w:lang w:val="en-US" w:eastAsia="zh-CN"/>
        </w:rPr>
        <w:t>:</w:t>
      </w:r>
      <w:r>
        <w:rPr>
          <w:rFonts w:hint="eastAsia" w:ascii="仿宋_GB2312" w:eastAsia="仿宋_GB2312" w:cs="仿宋_GB2312"/>
          <w:sz w:val="28"/>
          <w:szCs w:val="28"/>
        </w:rPr>
        <w:t>15-15</w:t>
      </w:r>
      <w:r>
        <w:rPr>
          <w:rFonts w:hint="eastAsia" w:ascii="仿宋_GB2312" w:eastAsia="仿宋_GB2312" w:cs="仿宋_GB2312"/>
          <w:sz w:val="28"/>
          <w:szCs w:val="28"/>
          <w:lang w:val="en-US" w:eastAsia="zh-CN"/>
        </w:rPr>
        <w:t>:</w:t>
      </w:r>
      <w:r>
        <w:rPr>
          <w:rFonts w:hint="eastAsia" w:ascii="仿宋_GB2312" w:eastAsia="仿宋_GB2312" w:cs="仿宋_GB2312"/>
          <w:sz w:val="28"/>
          <w:szCs w:val="28"/>
        </w:rPr>
        <w:t>00）双向持仓（可同时持有权利仓与义务仓），</w:t>
      </w:r>
      <w:r>
        <w:rPr>
          <w:rFonts w:hint="eastAsia" w:ascii="仿宋_GB2312" w:eastAsia="仿宋_GB2312" w:cs="仿宋_GB2312"/>
          <w:sz w:val="28"/>
          <w:szCs w:val="28"/>
          <w:lang w:val="en-US" w:eastAsia="zh-CN"/>
        </w:rPr>
        <w:t>本所</w:t>
      </w:r>
      <w:r>
        <w:rPr>
          <w:rFonts w:hint="eastAsia" w:ascii="仿宋_GB2312" w:eastAsia="仿宋_GB2312" w:cs="仿宋_GB2312"/>
          <w:sz w:val="28"/>
          <w:szCs w:val="28"/>
        </w:rPr>
        <w:t>对卖出认购或者认沽期权时按开仓保证金水平计减结算参与人</w:t>
      </w:r>
      <w:r>
        <w:rPr>
          <w:rFonts w:hint="eastAsia" w:ascii="仿宋_GB2312" w:eastAsia="仿宋_GB2312"/>
          <w:sz w:val="28"/>
          <w:szCs w:val="28"/>
        </w:rPr>
        <w:t>保证金日间余额</w:t>
      </w:r>
      <w:r>
        <w:rPr>
          <w:rFonts w:hint="eastAsia" w:ascii="仿宋_GB2312" w:eastAsia="仿宋_GB2312" w:cs="仿宋_GB2312"/>
          <w:sz w:val="28"/>
          <w:szCs w:val="28"/>
        </w:rPr>
        <w:t>，期货公司对客户卖出认购或者认沽期权时按开仓保证金水平扣减客户保证金可用余额，不能因</w:t>
      </w:r>
      <w:r>
        <w:rPr>
          <w:rFonts w:hint="eastAsia" w:ascii="仿宋_GB2312" w:eastAsia="仿宋_GB2312"/>
          <w:sz w:val="28"/>
          <w:szCs w:val="28"/>
        </w:rPr>
        <w:t>可构建组合策略或</w:t>
      </w:r>
      <w:r>
        <w:rPr>
          <w:rFonts w:hint="eastAsia" w:ascii="仿宋_GB2312" w:eastAsia="仿宋_GB2312" w:cs="仿宋_GB2312"/>
          <w:sz w:val="28"/>
          <w:szCs w:val="28"/>
        </w:rPr>
        <w:t>日终时可与权利仓对冲而免收或少收。</w:t>
      </w:r>
    </w:p>
    <w:p w14:paraId="3F45C5DC">
      <w:pPr>
        <w:spacing w:beforeLines="50" w:afterLines="50"/>
        <w:ind w:firstLine="560" w:firstLineChars="200"/>
        <w:rPr>
          <w:rFonts w:ascii="仿宋_GB2312" w:eastAsia="仿宋_GB2312"/>
          <w:sz w:val="28"/>
          <w:szCs w:val="28"/>
        </w:rPr>
      </w:pPr>
      <w:r>
        <w:rPr>
          <w:rFonts w:hint="eastAsia" w:ascii="仿宋_GB2312" w:eastAsia="仿宋_GB2312"/>
          <w:sz w:val="28"/>
          <w:szCs w:val="28"/>
        </w:rPr>
        <w:t>构建组合策略的，</w:t>
      </w:r>
      <w:r>
        <w:rPr>
          <w:rFonts w:hint="eastAsia" w:ascii="仿宋_GB2312" w:eastAsia="仿宋_GB2312"/>
          <w:sz w:val="28"/>
          <w:szCs w:val="28"/>
          <w:lang w:eastAsia="zh-CN"/>
        </w:rPr>
        <w:t>本所</w:t>
      </w:r>
      <w:r>
        <w:rPr>
          <w:rFonts w:hint="eastAsia" w:ascii="仿宋_GB2312" w:eastAsia="仿宋_GB2312"/>
          <w:sz w:val="28"/>
          <w:szCs w:val="28"/>
        </w:rPr>
        <w:t>对构建组合策略申报确认后，实时增加相应结算参与人保证金日间余额，期货公司实时增加客户保证金可用余额。</w:t>
      </w:r>
    </w:p>
    <w:p w14:paraId="6496565D">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盘后维持保证金收取</w:t>
      </w:r>
    </w:p>
    <w:p w14:paraId="3E0AE2F3">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日终时由</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和中国结算对同一账户同一合约双向持仓</w:t>
      </w:r>
      <w:r>
        <w:rPr>
          <w:rFonts w:hint="eastAsia" w:ascii="仿宋_GB2312" w:eastAsia="仿宋_GB2312" w:cs="仿宋_GB2312"/>
          <w:kern w:val="0"/>
          <w:sz w:val="28"/>
          <w:szCs w:val="28"/>
          <w:lang w:val="zh-CN"/>
        </w:rPr>
        <w:t>数量</w:t>
      </w:r>
      <w:r>
        <w:rPr>
          <w:rFonts w:hint="eastAsia" w:ascii="仿宋_GB2312" w:eastAsia="仿宋_GB2312" w:cs="仿宋_GB2312"/>
          <w:sz w:val="28"/>
          <w:szCs w:val="28"/>
        </w:rPr>
        <w:t>自动进行对冲（取净头寸，优先对冲非备兑义务仓），调整为单向持仓。中国结算按对冲后的单向持仓</w:t>
      </w:r>
      <w:r>
        <w:rPr>
          <w:rFonts w:hint="eastAsia" w:ascii="仿宋_GB2312" w:eastAsia="仿宋_GB2312"/>
          <w:sz w:val="28"/>
          <w:szCs w:val="28"/>
        </w:rPr>
        <w:t>及组合策略持仓</w:t>
      </w:r>
      <w:r>
        <w:rPr>
          <w:rFonts w:hint="eastAsia" w:ascii="仿宋_GB2312" w:eastAsia="仿宋_GB2312" w:cs="仿宋_GB2312"/>
          <w:sz w:val="28"/>
          <w:szCs w:val="28"/>
        </w:rPr>
        <w:t>进行结算参与人维持保证金计收，期货公司按对冲后的单向持仓</w:t>
      </w:r>
      <w:r>
        <w:rPr>
          <w:rFonts w:hint="eastAsia" w:ascii="仿宋_GB2312" w:eastAsia="仿宋_GB2312"/>
          <w:sz w:val="28"/>
          <w:szCs w:val="28"/>
        </w:rPr>
        <w:t>及组合策略持仓</w:t>
      </w:r>
      <w:r>
        <w:rPr>
          <w:rFonts w:hint="eastAsia" w:ascii="仿宋_GB2312" w:eastAsia="仿宋_GB2312" w:cs="仿宋_GB2312"/>
          <w:sz w:val="28"/>
          <w:szCs w:val="28"/>
        </w:rPr>
        <w:t>进行客户维持保证金计收。</w:t>
      </w:r>
    </w:p>
    <w:p w14:paraId="43515444">
      <w:pPr>
        <w:spacing w:beforeLines="50" w:afterLines="50"/>
        <w:ind w:firstLine="560" w:firstLineChars="200"/>
        <w:rPr>
          <w:rFonts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临近组合策略自动解除日保证金收取</w:t>
      </w:r>
    </w:p>
    <w:p w14:paraId="2341A3C7">
      <w:pPr>
        <w:spacing w:beforeLines="50" w:afterLines="50"/>
        <w:ind w:firstLine="560" w:firstLineChars="200"/>
        <w:rPr>
          <w:rFonts w:ascii="仿宋_GB2312" w:eastAsia="仿宋_GB2312"/>
          <w:sz w:val="28"/>
          <w:szCs w:val="28"/>
        </w:rPr>
      </w:pPr>
      <w:r>
        <w:rPr>
          <w:rFonts w:hint="eastAsia" w:ascii="仿宋_GB2312" w:eastAsia="仿宋_GB2312"/>
          <w:sz w:val="28"/>
          <w:szCs w:val="28"/>
        </w:rPr>
        <w:t>构建组合策略的，期货公司可按其与客户在经纪业务合同中的约定，在临近组合策略自动解除日，提前按照解除组合后应收保证金水平，收取维持保证金。</w:t>
      </w:r>
    </w:p>
    <w:p w14:paraId="69537D85">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4.</w:t>
      </w:r>
      <w:r>
        <w:rPr>
          <w:rFonts w:hint="eastAsia" w:ascii="仿宋_GB2312" w:eastAsia="仿宋_GB2312" w:cs="仿宋_GB2312"/>
          <w:sz w:val="28"/>
          <w:szCs w:val="28"/>
        </w:rPr>
        <w:t>到期被指派合约保证金收取</w:t>
      </w:r>
    </w:p>
    <w:p w14:paraId="210452A9">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结算参与人层面，行权日日终，中国结算对于</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合约被指派的义务方按当日结算价格重新计收维持保证金，未被指派的合约不再收取维持保证金。交收日日终，中国结算按“结算参与人股票期权保证金账户内的结算准备金余额/（行权交收资金-被行权合约对应的维持保证金）”的比例释放被行权合约维持保证金用于交收。</w:t>
      </w:r>
    </w:p>
    <w:p w14:paraId="31D4053D">
      <w:pPr>
        <w:spacing w:beforeLines="50" w:afterLines="50"/>
        <w:ind w:left="105" w:leftChars="50" w:firstLine="420" w:firstLineChars="150"/>
        <w:rPr>
          <w:rFonts w:ascii="仿宋_GB2312" w:eastAsia="仿宋_GB2312" w:cs="仿宋_GB2312"/>
          <w:sz w:val="28"/>
          <w:szCs w:val="28"/>
        </w:rPr>
      </w:pPr>
      <w:r>
        <w:rPr>
          <w:rFonts w:hint="eastAsia" w:ascii="仿宋_GB2312" w:eastAsia="仿宋_GB2312" w:cs="仿宋_GB2312"/>
          <w:sz w:val="28"/>
          <w:szCs w:val="28"/>
        </w:rPr>
        <w:t>期货公司客户层面，行权日日终，对单个客户，如客户是净应收券或应收资金，期货公司不冻结资金；如客户是净应付券，期货公司可以根据与客户在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期权经纪合同中的约定，冻结相应合约标的，不足部分可以采取冻结股票期权保证金账户部分资金方式（如合约标的收盘价</w:t>
      </w:r>
      <w:r>
        <w:rPr>
          <w:rFonts w:ascii="Times New Roman" w:hAnsi="Times New Roman" w:eastAsia="仿宋_GB2312"/>
          <w:sz w:val="28"/>
          <w:szCs w:val="28"/>
        </w:rPr>
        <w:t>×</w:t>
      </w:r>
      <w:r>
        <w:rPr>
          <w:rFonts w:hint="eastAsia" w:ascii="仿宋_GB2312" w:eastAsia="仿宋_GB2312" w:cs="仿宋_GB2312"/>
          <w:sz w:val="28"/>
          <w:szCs w:val="28"/>
        </w:rPr>
        <w:t>10%或能覆盖假设客户违约时现金结算的资金）；如客户是应付资金，期货公司可以根据与客户在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期权经纪合同中的约定，冻结相应资金。</w:t>
      </w:r>
    </w:p>
    <w:p w14:paraId="683C452D">
      <w:pPr>
        <w:spacing w:beforeLines="50" w:afterLines="50"/>
        <w:ind w:left="105" w:leftChars="50" w:firstLine="420" w:firstLineChars="150"/>
        <w:rPr>
          <w:rFonts w:ascii="仿宋_GB2312" w:eastAsia="仿宋_GB2312" w:cs="仿宋_GB2312"/>
          <w:sz w:val="28"/>
          <w:szCs w:val="28"/>
        </w:rPr>
      </w:pPr>
      <w:r>
        <w:rPr>
          <w:rFonts w:hint="eastAsia" w:ascii="仿宋_GB2312" w:eastAsia="仿宋_GB2312" w:cs="仿宋_GB2312"/>
          <w:sz w:val="28"/>
          <w:szCs w:val="28"/>
          <w:lang w:val="en-US" w:eastAsia="zh-CN"/>
        </w:rPr>
        <w:t>5.</w:t>
      </w:r>
      <w:r>
        <w:rPr>
          <w:rFonts w:hint="eastAsia" w:ascii="仿宋_GB2312" w:eastAsia="仿宋_GB2312" w:cs="仿宋_GB2312"/>
          <w:sz w:val="28"/>
          <w:szCs w:val="28"/>
        </w:rPr>
        <w:t>除权除息日保证金收取</w:t>
      </w:r>
    </w:p>
    <w:p w14:paraId="50A7CCDE">
      <w:pPr>
        <w:spacing w:beforeLines="50" w:afterLines="50"/>
        <w:ind w:left="105" w:leftChars="50" w:firstLine="420" w:firstLineChars="150"/>
        <w:rPr>
          <w:rFonts w:ascii="仿宋_GB2312" w:eastAsia="仿宋_GB2312" w:cs="仿宋_GB2312"/>
          <w:sz w:val="28"/>
          <w:szCs w:val="28"/>
        </w:rPr>
      </w:pPr>
      <w:r>
        <w:rPr>
          <w:rFonts w:hint="eastAsia" w:ascii="仿宋_GB2312" w:eastAsia="仿宋_GB2312" w:cs="仿宋_GB2312"/>
          <w:sz w:val="28"/>
          <w:szCs w:val="28"/>
        </w:rPr>
        <w:t>除权除息日，</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依据合约调整后的合约单位计增或计减期货公司的可用保证金额度。而上一交易日日终，中国结算向结算会员按合约调整前的合约单位收取维持保证金。因此，对原有义务仓持仓平仓，释放的保证金金额会与上一交易日日终计算的维持保证金不一致，存在一些误差（由合约单位取整引起，但单张合约金额误差不大）。</w:t>
      </w:r>
    </w:p>
    <w:p w14:paraId="39430D8A">
      <w:pPr>
        <w:spacing w:beforeLines="50" w:afterLines="50"/>
        <w:ind w:left="105" w:leftChars="50" w:firstLine="420" w:firstLineChars="150"/>
        <w:rPr>
          <w:rFonts w:ascii="仿宋_GB2312" w:eastAsia="仿宋_GB2312" w:cs="仿宋_GB2312"/>
          <w:sz w:val="28"/>
          <w:szCs w:val="28"/>
        </w:rPr>
      </w:pPr>
      <w:r>
        <w:rPr>
          <w:rFonts w:hint="eastAsia" w:ascii="仿宋_GB2312" w:eastAsia="仿宋_GB2312" w:cs="仿宋_GB2312"/>
          <w:sz w:val="28"/>
          <w:szCs w:val="28"/>
        </w:rPr>
        <w:t>除权除息日，如果出现上述不一致，期货公司应加强对保证金的管理。同时，如果期货公司对客户保证金方式亦存在此问题，当日应及时向客户提醒或解释，并加强对客户保证金管理（可用资金或出金会有误差）。</w:t>
      </w:r>
    </w:p>
    <w:p w14:paraId="055473A9">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（三）保证金监控</w:t>
      </w:r>
    </w:p>
    <w:p w14:paraId="6D02B5F2">
      <w:pPr>
        <w:pStyle w:val="28"/>
        <w:widowControl/>
        <w:spacing w:beforeLines="50"/>
        <w:ind w:firstLine="560" w:firstLineChars="200"/>
        <w:jc w:val="left"/>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实时盯市（盘中试算）</w:t>
      </w:r>
    </w:p>
    <w:p w14:paraId="2D55F030">
      <w:pPr>
        <w:pStyle w:val="28"/>
        <w:widowControl/>
        <w:spacing w:beforeLines="50"/>
        <w:ind w:firstLine="560" w:firstLineChars="200"/>
        <w:jc w:val="left"/>
        <w:rPr>
          <w:rFonts w:ascii="仿宋_GB2312" w:eastAsia="仿宋_GB2312" w:cs="仿宋_GB2312"/>
          <w:sz w:val="28"/>
          <w:szCs w:val="28"/>
        </w:rPr>
      </w:pPr>
      <w:r>
        <w:rPr>
          <w:rFonts w:hint="eastAsia" w:ascii="仿宋_GB2312" w:eastAsia="仿宋_GB2312" w:cs="仿宋_GB2312"/>
          <w:sz w:val="28"/>
          <w:szCs w:val="28"/>
        </w:rPr>
        <w:t>区别于上述开仓保证金和维持保证金，期货公司在客户保证金监控时，需增加对合约标的或</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期权合约交易价格变动带来的保证金变化的监控。</w:t>
      </w:r>
    </w:p>
    <w:p w14:paraId="6348C371">
      <w:pPr>
        <w:pStyle w:val="28"/>
        <w:widowControl/>
        <w:spacing w:beforeLines="50"/>
        <w:ind w:firstLine="560" w:firstLineChars="200"/>
        <w:jc w:val="left"/>
        <w:rPr>
          <w:rFonts w:ascii="仿宋_GB2312" w:eastAsia="仿宋_GB2312" w:cs="仿宋_GB2312"/>
          <w:sz w:val="28"/>
          <w:szCs w:val="28"/>
        </w:rPr>
      </w:pPr>
      <w:r>
        <w:rPr>
          <w:rFonts w:hint="eastAsia" w:ascii="仿宋_GB2312" w:eastAsia="仿宋_GB2312" w:cs="仿宋_GB2312"/>
          <w:sz w:val="28"/>
          <w:szCs w:val="28"/>
        </w:rPr>
        <w:t>根据最新价格实时计算的客户持有某</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期权合约的实时价格保证金是指，客户持有该同一</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期权合约义务仓和权利仓对冲后剩余义务仓，按合约标的最新成交价格和</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期权合约最新成交价（如当日无成交，则取前结算价），根据期货公司设置的保证金水平计算的保证金。</w:t>
      </w:r>
      <w:r>
        <w:rPr>
          <w:rFonts w:hint="eastAsia" w:ascii="仿宋_GB2312" w:eastAsia="仿宋_GB2312"/>
          <w:sz w:val="28"/>
          <w:szCs w:val="28"/>
        </w:rPr>
        <w:t>按照组合策略收取保证金的，若计算组合保证金的公式中包含</w:t>
      </w:r>
      <w:r>
        <w:rPr>
          <w:rFonts w:hint="eastAsia" w:ascii="仿宋_GB2312" w:eastAsia="仿宋_GB2312"/>
          <w:sz w:val="28"/>
          <w:szCs w:val="28"/>
          <w:lang w:eastAsia="zh-CN"/>
        </w:rPr>
        <w:t>股票</w:t>
      </w:r>
      <w:r>
        <w:rPr>
          <w:rFonts w:hint="eastAsia" w:ascii="仿宋_GB2312" w:eastAsia="仿宋_GB2312"/>
          <w:sz w:val="28"/>
          <w:szCs w:val="28"/>
        </w:rPr>
        <w:t>期权合约或标的价格，也需要按照最新成交价进行计算。计算实时价格保证金时，组合策略持仓不参与同一</w:t>
      </w:r>
      <w:r>
        <w:rPr>
          <w:rFonts w:hint="eastAsia" w:ascii="仿宋_GB2312" w:eastAsia="仿宋_GB2312"/>
          <w:sz w:val="28"/>
          <w:szCs w:val="28"/>
          <w:lang w:eastAsia="zh-CN"/>
        </w:rPr>
        <w:t>股票</w:t>
      </w:r>
      <w:r>
        <w:rPr>
          <w:rFonts w:hint="eastAsia" w:ascii="仿宋_GB2312" w:eastAsia="仿宋_GB2312"/>
          <w:sz w:val="28"/>
          <w:szCs w:val="28"/>
        </w:rPr>
        <w:t>期权合约义务仓和权利仓的对冲。</w:t>
      </w:r>
    </w:p>
    <w:p w14:paraId="20EA6914">
      <w:pPr>
        <w:pStyle w:val="28"/>
        <w:widowControl/>
        <w:spacing w:beforeLines="50"/>
        <w:ind w:firstLine="560" w:firstLineChars="200"/>
        <w:jc w:val="left"/>
        <w:rPr>
          <w:rFonts w:ascii="仿宋_GB2312" w:eastAsia="仿宋_GB2312" w:cs="仿宋_GB2312"/>
          <w:sz w:val="28"/>
          <w:szCs w:val="28"/>
        </w:rPr>
      </w:pPr>
      <w:r>
        <w:rPr>
          <w:rFonts w:hint="eastAsia" w:ascii="仿宋_GB2312" w:eastAsia="仿宋_GB2312" w:cs="仿宋_GB2312"/>
          <w:sz w:val="28"/>
          <w:szCs w:val="28"/>
        </w:rPr>
        <w:t>期货公司应按最新价格计算各客户持有各合约所需保证金金额，监控其是否足额及变化情况。</w:t>
      </w:r>
    </w:p>
    <w:p w14:paraId="658DB7E8">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盘中平仓和追保的实时监控</w:t>
      </w:r>
    </w:p>
    <w:p w14:paraId="1AE588D7">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（1）客户实时风险值</w:t>
      </w:r>
    </w:p>
    <w:p w14:paraId="333B105C">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期货公司应监控客户实时价格保证金占其保证金总额的情况，建议设立监控指标：</w:t>
      </w:r>
    </w:p>
    <w:p w14:paraId="21DED7C7">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客户实时风险值1=按照公司保证金水平计算的客户实时价格保证金/该客户保证金总额（扣除行权待交收等冻结的资金后）。</w:t>
      </w:r>
    </w:p>
    <w:p w14:paraId="28C24C61">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客户实时风险值2=按照所司保证金水平计算的客户实时价格保证金/该客户保证金总额（扣除行权待交收等冻结的资金后）。</w:t>
      </w:r>
    </w:p>
    <w:p w14:paraId="3CB16DEB">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比如针对客户保证金收取按所司保证金标准整体上浮20%的期货公司，盘中客户ETF认购期权按照公司保证金水平计算的实时价格保证金={合约最近成交价+Max（12%×合约标的最新价-认购期权虚值，7%×合约标的最新价）}×合约单位×1.2。</w:t>
      </w:r>
    </w:p>
    <w:p w14:paraId="6C221B43">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客户保证金总额为客户股票期权保证金账户用于衍生品交易的</w:t>
      </w:r>
      <w:r>
        <w:rPr>
          <w:rFonts w:hint="eastAsia" w:ascii="仿宋_GB2312" w:eastAsia="仿宋_GB2312" w:cs="仿宋_GB2312"/>
          <w:sz w:val="28"/>
          <w:szCs w:val="28"/>
          <w:lang w:eastAsia="zh-CN"/>
        </w:rPr>
        <w:t>保证金</w:t>
      </w:r>
      <w:r>
        <w:rPr>
          <w:rFonts w:hint="eastAsia" w:ascii="仿宋_GB2312" w:eastAsia="仿宋_GB2312" w:cs="仿宋_GB2312"/>
          <w:sz w:val="28"/>
          <w:szCs w:val="28"/>
        </w:rPr>
        <w:t>总额，根据出入金、成交进行实时增减。</w:t>
      </w:r>
    </w:p>
    <w:p w14:paraId="05DC41E6">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行权待交收冻结的资金为行权日或交收日，客户因行权或被指派应付券或应付款而被冻结的资金。</w:t>
      </w:r>
    </w:p>
    <w:p w14:paraId="3B5F98CA">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若客户实时风险值1和客户实时风险值2的分母出现负数，指标均为100%（期货公司可以自行设置其他数值）；如分母为0，当客户实时价格保证金&gt;0时，指标为100%，当客户实时价格保证金=0时，指标为0。客户实时风险值1和客户实时风险值2的分母“该客户保证金总额（扣除行权待交收冻结的资金后）”包括了申报未成交冻结的资金。</w:t>
      </w:r>
    </w:p>
    <w:p w14:paraId="55C3871F">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亦可增设监控指标，例如增设客户实时风险值3=按照公司保证金水平计算的客户实时价格保证金/[该客户保证金总额（扣除行权待交收冻结的资金后）-申报未成交冻结的资金]。当客户实时风险值3达到期货公司设置的</w:t>
      </w:r>
      <w:r>
        <w:rPr>
          <w:rFonts w:ascii="Times New Roman" w:hAnsi="Times New Roman" w:eastAsia="仿宋_GB2312"/>
          <w:sz w:val="28"/>
          <w:szCs w:val="28"/>
        </w:rPr>
        <w:t>阈值</w:t>
      </w:r>
      <w:r>
        <w:rPr>
          <w:rFonts w:hint="eastAsia" w:ascii="仿宋_GB2312" w:eastAsia="仿宋_GB2312" w:cs="仿宋_GB2312"/>
          <w:sz w:val="28"/>
          <w:szCs w:val="28"/>
        </w:rPr>
        <w:t>时，期货公司可以及时提醒客户撤单或追加保证金。</w:t>
      </w:r>
    </w:p>
    <w:p w14:paraId="74EC13B4">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期货公司亦可按（客户实时价格保证金+行权待交收冻结的资金）/该客户保证金总额设计客户实时风险值，监控</w:t>
      </w:r>
      <w:r>
        <w:rPr>
          <w:rFonts w:ascii="Times New Roman" w:hAnsi="Times New Roman" w:eastAsia="仿宋_GB2312"/>
          <w:sz w:val="28"/>
          <w:szCs w:val="28"/>
        </w:rPr>
        <w:t>阈值</w:t>
      </w:r>
      <w:r>
        <w:rPr>
          <w:rFonts w:hint="eastAsia" w:ascii="仿宋_GB2312" w:eastAsia="仿宋_GB2312" w:cs="仿宋_GB2312"/>
          <w:sz w:val="28"/>
          <w:szCs w:val="28"/>
        </w:rPr>
        <w:t>自行定义。</w:t>
      </w:r>
    </w:p>
    <w:p w14:paraId="33712D82">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（2）三条监控线</w:t>
      </w:r>
    </w:p>
    <w:p w14:paraId="4CDE23A8">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建议期货公司与客户在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期权经纪合同中约定，对客户实时风险值设置公司盘中追保线、公司盘中平仓线、即时处置线。其中：</w:t>
      </w:r>
    </w:p>
    <w:p w14:paraId="5B48D142">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公司盘中追保线：监控客户实时风险值1，盘中追保线低于公司盘中平仓线（具体值期货公司自定）。比如盘中追保线为90%，当盘中客户实时风险值1高于盘中追保线时，期货公司可以向客户发追保通知，并同时可以限制该客户新开仓。</w:t>
      </w:r>
    </w:p>
    <w:p w14:paraId="2B563163">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公司盘中平仓线：客户实时风险值1达到100%时，触发公司盘中平仓线。当盘中客户实时风险值1高于公司盘中平仓线时，期货公司应及时通知客户（如上一交易日日终维持保证金已不足，并已发出强行平仓通知书，可不再通知），期货公司可在当日或者下一交易日规定时间对客户进行强行平仓。</w:t>
      </w:r>
    </w:p>
    <w:p w14:paraId="6AB1D7FE">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即时处置线：客户实时风险值2达到100%时，触发即时处置线。当盘中客户实时风险值2高于即时处置线时，期货公司可以选择实时对客户进行强行平仓，直至客户实时风险值1处于公司盘中平仓线或追保线以下（具体由</w:t>
      </w:r>
      <w:r>
        <w:rPr>
          <w:rFonts w:hint="eastAsia" w:ascii="仿宋_GB2312" w:eastAsia="仿宋_GB2312" w:cs="仿宋_GB2312"/>
          <w:color w:val="000000"/>
          <w:sz w:val="28"/>
          <w:szCs w:val="28"/>
        </w:rPr>
        <w:t>期货公司</w:t>
      </w:r>
      <w:r>
        <w:rPr>
          <w:rFonts w:hint="eastAsia" w:ascii="仿宋_GB2312" w:eastAsia="仿宋_GB2312" w:cs="仿宋_GB2312"/>
          <w:sz w:val="28"/>
          <w:szCs w:val="28"/>
        </w:rPr>
        <w:t>与客户约定为准）。不做即时平仓的期货公司，可以在与客户约定的时间（如14:30）统一发起当天客户的强行平仓或选择不强行平仓，但应做好相应的资金管理安排，提前准备好自有资金，履行日终对中国结算的结算义务。</w:t>
      </w:r>
    </w:p>
    <w:p w14:paraId="6EE75ADD">
      <w:pPr>
        <w:spacing w:beforeLines="50" w:afterLines="50"/>
        <w:ind w:firstLine="504" w:firstLineChars="180"/>
        <w:rPr>
          <w:rFonts w:ascii="仿宋_GB2312" w:eastAsia="仿宋_GB2312" w:cs="仿宋_GB2312"/>
          <w:sz w:val="28"/>
          <w:szCs w:val="28"/>
        </w:rPr>
      </w:pPr>
      <w:r>
        <w:rPr>
          <w:rFonts w:hint="eastAsia" w:ascii="仿宋_GB2312" w:eastAsia="仿宋_GB2312"/>
          <w:sz w:val="28"/>
          <w:szCs w:val="28"/>
        </w:rPr>
        <w:t>对于持有组合策略的情况，期货公司可按其与客户在经纪业务合同中的约定，在组合策略自动解除前，根据客户实时风险值进行追保和处置。</w:t>
      </w:r>
    </w:p>
    <w:p w14:paraId="53CEC62B">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提取现金的计算</w:t>
      </w:r>
    </w:p>
    <w:p w14:paraId="0EC3AF8A">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（1）客户占用未对冲保证金</w:t>
      </w:r>
    </w:p>
    <w:p w14:paraId="268E43DF">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占用未对冲开仓保证金：按照开仓保证金公式并按公司设定的收取水平计算的，以合约标的前收盘价和合约前结算价计算且为客户已成交和已申报开仓未成交的ETF期权义务仓合约（对双向持仓不进行对冲）所占用的保证金。</w:t>
      </w:r>
    </w:p>
    <w:p w14:paraId="43312372">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占用未对冲实时价格保证金：按照开仓保证金公式并按公司设定的收取水平计算的，以合约标的最新价和合约最新价计算且为客户已成交和已申报开仓未成交的ETF期权义务仓合约（对双向持仓不进行对冲）所占用的保证金。</w:t>
      </w:r>
    </w:p>
    <w:p w14:paraId="4CCDABDF">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（2）客户可取现值</w:t>
      </w:r>
    </w:p>
    <w:p w14:paraId="7E22531E">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期货公司应根据自身风险管理与资金管理情况，在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与客户约定客户取现的计算方法，计算方法及结果需要明确告知客户，可参考以下原则：当日权利金净收入不可提取、当日平仓释放资金保证金可提取等（具体以与客户约定为准）。计算方法举例如下：</w:t>
      </w:r>
    </w:p>
    <w:p w14:paraId="23457E8F">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可取资金=上一日日终结算后资金保证金总额（或当日期初资金保证金总额）+当日入金-当日出金-手续费+当日权利金收入-当日权利金支出 -[ max（客户占用未对冲实时价格保证金，客户占用未对冲开仓保证金）/提取线] - max(当日权利金收入-当日权利金支出，0）-</w:t>
      </w:r>
      <w:r>
        <w:rPr>
          <w:rFonts w:ascii="仿宋_GB2312" w:eastAsia="仿宋_GB2312"/>
          <w:sz w:val="28"/>
          <w:szCs w:val="28"/>
        </w:rPr>
        <w:t> </w:t>
      </w:r>
      <w:r>
        <w:rPr>
          <w:rFonts w:hint="eastAsia" w:ascii="仿宋_GB2312" w:eastAsia="仿宋_GB2312" w:cs="仿宋_GB2312"/>
          <w:sz w:val="28"/>
          <w:szCs w:val="28"/>
        </w:rPr>
        <w:t xml:space="preserve"> 行权待交收冻结资金 - 其他相关冻结资金。</w:t>
      </w:r>
    </w:p>
    <w:p w14:paraId="554CD75E">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3）提取线：设定一个比例（即提取线，不高于盘中追保线，由期货公司自行设定），客户未对冲实时价格保证金加行权待交收冻结资金及其他相关冻结资金占其保证金总额高于或等于该比例时，不可提取现金；低于该比例时且符合其他约定条件时，可提取现金。现金提取后，客户未对冲实时价格保证金加行权待交收冻结资金及其他相关冻结资金占其保证金总额不得高于该比例。</w:t>
      </w:r>
      <w:r>
        <w:rPr>
          <w:rFonts w:ascii="仿宋_GB2312" w:eastAsia="仿宋_GB2312"/>
          <w:sz w:val="28"/>
          <w:szCs w:val="28"/>
        </w:rPr>
        <w:t>   </w:t>
      </w:r>
      <w:r>
        <w:rPr>
          <w:rFonts w:hint="eastAsia" w:ascii="仿宋_GB2312" w:eastAsia="仿宋_GB2312" w:cs="仿宋_GB2312"/>
          <w:sz w:val="28"/>
          <w:szCs w:val="28"/>
        </w:rPr>
        <w:t xml:space="preserve"> </w:t>
      </w:r>
    </w:p>
    <w:p w14:paraId="0A77E03A">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期货公司也可以不设置提取线，客户可取现值可以按扣除最大占用保证金及相关冻结资金后的可用余额计算，但应考虑避免当日日终出现维持保证金不足的情况。</w:t>
      </w:r>
    </w:p>
    <w:p w14:paraId="74A7F11C">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（四）逐日盯市</w:t>
      </w:r>
    </w:p>
    <w:p w14:paraId="22372C2B">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客户维持保证金监控</w:t>
      </w:r>
    </w:p>
    <w:p w14:paraId="1FD2363C">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客户维持保证金1：按照公司保证金水平计算的维持保证金（持仓日终自动对冲后收取的保证金）。</w:t>
      </w:r>
    </w:p>
    <w:p w14:paraId="054DE6FD">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比如针对客户保证金收取按</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标准整体上浮20%的期货公司，收盘后客户ETF认购期权维持保证金1={结算价+Max（12%×合约标的收盘价-认购期权虚值，7%×合约标的收盘价）}×合约单位×1.2。</w:t>
      </w:r>
    </w:p>
    <w:p w14:paraId="4B7A8F1C">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客户维持保证金2：按照所司保证金标准计算的维持保证金（（持仓日终自动对冲后收取的保证金））。</w:t>
      </w:r>
    </w:p>
    <w:p w14:paraId="40EBF2D2">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收盘后客户ETF认购期权维持保证金2={结算价+Max（12%×合约标的收盘价-认购期权虚值，7%×合约标的收盘价）}×合约单位。</w:t>
      </w:r>
    </w:p>
    <w:p w14:paraId="732C8B1E">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客户维持保证金比例1与客户维持保证金比例2</w:t>
      </w:r>
    </w:p>
    <w:p w14:paraId="31A9D359">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期货公司应在日终对客户保证金进行逐日盯市，建议设立监控指标：</w:t>
      </w:r>
    </w:p>
    <w:p w14:paraId="6E517B35">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客户维持保证金比例1=客户维持保证金1/该客户保证金总额（扣除行权待交收冻结的资金后）。</w:t>
      </w:r>
    </w:p>
    <w:p w14:paraId="7F0F00D8">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客户维持保证金比例2=客户维持保证金2/该客户保证金总额（扣除行权待交收冻结的资金后）。</w:t>
      </w:r>
    </w:p>
    <w:p w14:paraId="395DF3BF">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三条监控线</w:t>
      </w:r>
    </w:p>
    <w:p w14:paraId="3976187D">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建议期货公司与客户在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期权经纪合同中约定，针对客户维持保证金比例1和客户维持保证金比例2设置公司盘后平仓线、公司盘后追保线和交易所平仓线。其中：</w:t>
      </w:r>
    </w:p>
    <w:p w14:paraId="712CF0E3">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公司盘后平仓线：客户维持保证金比例1为100%。当盘后客户维持保证金比例1高于公司盘后平仓线时，公司应及时向客户发送强行平仓通知，并通知客户在下一交易日规定时间（比如14:30）以前补足保证金或自行平仓；若客户未在规定时间内补足保证金或自行平仓，期货公司应在下一交易日规定时间（比如14：30）开始对客户实施强行平仓。并告知，如下一交易日盘中进一步达到即时处置线时，期货公司可以选择实时对客户进行强行平仓。</w:t>
      </w:r>
    </w:p>
    <w:p w14:paraId="072CF0E6">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公司盘后追保线：监控客户维持保证金比例1，盘后追保线低于公司盘后平仓线（具体值期货公司自定）。比如盘后追保线为90%，当客户维持保证金比例1高于盘后追保线时，期货公司应及时向客户发追保通知，并同时可以限制该客户新开仓。</w:t>
      </w:r>
    </w:p>
    <w:p w14:paraId="48503CA8">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交易所平仓线：客户维持保证金比例2为100%。当盘后客户维持保证金比例2高于交易所平仓线时，公司应及时向客户发送强行平仓通知，并在下一交易日开盘后尽快对客户实施强行平仓。当日日终，需要期货公司用自有资金补足，确保日终客户维持保证金不低于按《风控办法》规定的保证金水平，不得挪用其他客户保证金。</w:t>
      </w:r>
    </w:p>
    <w:p w14:paraId="010287F6">
      <w:pPr>
        <w:spacing w:beforeLines="50" w:afterLines="50"/>
        <w:ind w:firstLine="504" w:firstLineChars="180"/>
        <w:rPr>
          <w:rFonts w:ascii="仿宋_GB2312" w:eastAsia="仿宋_GB2312" w:cs="仿宋_GB2312"/>
          <w:sz w:val="28"/>
          <w:szCs w:val="28"/>
        </w:rPr>
      </w:pPr>
      <w:r>
        <w:rPr>
          <w:rFonts w:hint="eastAsia" w:ascii="仿宋_GB2312" w:eastAsia="仿宋_GB2312"/>
          <w:sz w:val="28"/>
          <w:szCs w:val="28"/>
        </w:rPr>
        <w:t>对于持有组合策略的情况，期货公司可按其与客户在经纪业务合同中的约定，在组合策略自动解除前，根据客户维持保证金比例进行追保或强平通知。</w:t>
      </w:r>
    </w:p>
    <w:p w14:paraId="1DB5467D">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（五）其他</w:t>
      </w:r>
    </w:p>
    <w:p w14:paraId="6D2A0AC9">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保证金通知邮箱</w:t>
      </w:r>
    </w:p>
    <w:p w14:paraId="7265F23A">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期货公司可向与客户约定的客户专门邮箱或其融资融券业务邮箱，发送追保、强平等各类通知，并存档留痕。期货公司可在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期权经纪合同中列明并告知客户。</w:t>
      </w:r>
    </w:p>
    <w:p w14:paraId="62A9A389">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压力测试</w:t>
      </w:r>
    </w:p>
    <w:p w14:paraId="2731C25C">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期货公司应对客户保证金进行压力测试，包括对客户保证金进行特定品种、特定价格、特定情景的压力测试等。</w:t>
      </w:r>
    </w:p>
    <w:p w14:paraId="46B85730">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期货公司盘中应重视对一定程度虚值期权合约</w:t>
      </w:r>
      <w:r>
        <w:rPr>
          <w:rFonts w:hint="eastAsia" w:ascii="仿宋_GB2312" w:eastAsia="仿宋_GB2312"/>
          <w:sz w:val="28"/>
          <w:szCs w:val="28"/>
        </w:rPr>
        <w:t>及临近自动解除日组合策略</w:t>
      </w:r>
      <w:r>
        <w:rPr>
          <w:rFonts w:hint="eastAsia" w:ascii="仿宋_GB2312" w:eastAsia="仿宋_GB2312" w:cs="仿宋_GB2312"/>
          <w:sz w:val="28"/>
          <w:szCs w:val="28"/>
        </w:rPr>
        <w:t>的实时监控。当合约标的价格发生较大变化、所持合约虚值程度发生较大变化或从虚值转为平值</w:t>
      </w:r>
      <w:r>
        <w:rPr>
          <w:rFonts w:hint="eastAsia" w:ascii="仿宋_GB2312" w:eastAsia="仿宋_GB2312"/>
          <w:sz w:val="28"/>
          <w:szCs w:val="28"/>
        </w:rPr>
        <w:t>、组合策略临近自动解除日</w:t>
      </w:r>
      <w:r>
        <w:rPr>
          <w:rFonts w:hint="eastAsia" w:ascii="仿宋_GB2312" w:eastAsia="仿宋_GB2312" w:cs="仿宋_GB2312"/>
          <w:sz w:val="28"/>
          <w:szCs w:val="28"/>
        </w:rPr>
        <w:t>时，期货公司应对该情况下客户保证金变化进行压力测试或进行评估，以应对客户保证金大量不足的情形。</w:t>
      </w:r>
    </w:p>
    <w:p w14:paraId="7A24150F">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期货公司可建立保证金分级管理与收取办法。一方面，期货公司可根据投资者信用情况、业务权限和交易级别等收取不同程度保证金；另一方面，期货公司对于自身风险管理能力较强、信誉良好的客户，在充分了解客户，并由客户签署调整保证金申请表和承诺书的情况下，可执行特殊保证金标准，但不低于《风控办法》规定的保证金收取标准。</w:t>
      </w:r>
    </w:p>
    <w:p w14:paraId="3C0557B9">
      <w:pPr>
        <w:spacing w:before="156" w:after="156"/>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4.</w:t>
      </w:r>
      <w:r>
        <w:rPr>
          <w:rFonts w:hint="eastAsia" w:ascii="仿宋_GB2312" w:eastAsia="仿宋_GB2312" w:cs="仿宋_GB2312"/>
          <w:sz w:val="28"/>
          <w:szCs w:val="28"/>
        </w:rPr>
        <w:t>临近行权日（包括行权日），为了防范客户在交收日出现交收违约风险，期货公司可以提高客户当月合约开仓保证金和维持保证金的收取比例。</w:t>
      </w:r>
    </w:p>
    <w:p w14:paraId="4568E188">
      <w:pPr>
        <w:spacing w:before="0" w:beforeLines="-2147483648" w:after="0" w:afterLines="-2147483648"/>
        <w:ind w:firstLine="560"/>
        <w:rPr>
          <w:rFonts w:ascii="Times New Roman" w:hAnsi="Times New Roman" w:eastAsia="黑体" w:cs="Times New Roman"/>
          <w:sz w:val="28"/>
          <w:szCs w:val="28"/>
        </w:rPr>
      </w:pPr>
      <w:bookmarkStart w:id="270" w:name="_Toc3672"/>
      <w:bookmarkStart w:id="271" w:name="_Toc408665038"/>
      <w:bookmarkStart w:id="272" w:name="_Toc6256"/>
      <w:bookmarkStart w:id="273" w:name="_Toc23946988"/>
      <w:bookmarkStart w:id="274" w:name="_Toc18852"/>
      <w:bookmarkStart w:id="275" w:name="_Toc12801"/>
      <w:r>
        <w:rPr>
          <w:rFonts w:hint="default" w:ascii="Times New Roman" w:hAnsi="Times New Roman" w:eastAsia="黑体"/>
          <w:sz w:val="28"/>
          <w:szCs w:val="28"/>
        </w:rPr>
        <w:t>二、备兑开仓客户保证金管理</w:t>
      </w:r>
      <w:bookmarkEnd w:id="270"/>
      <w:bookmarkEnd w:id="271"/>
      <w:bookmarkEnd w:id="272"/>
      <w:bookmarkEnd w:id="273"/>
      <w:bookmarkEnd w:id="274"/>
      <w:bookmarkEnd w:id="275"/>
    </w:p>
    <w:p w14:paraId="71EF93CF">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（一）对因除权除息引起客户备兑证券不足的监控</w:t>
      </w:r>
    </w:p>
    <w:p w14:paraId="7D35CF25">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事前通知</w:t>
      </w:r>
    </w:p>
    <w:p w14:paraId="32897EAC">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除权除息日前一日，期货公司应提醒客户合约标的将进行除权除息，将按调整后合约单位重新锁定备兑备用证券。收盘后，针对备兑开仓客户，期货公司应再及时通知并提醒客户。</w:t>
      </w:r>
    </w:p>
    <w:p w14:paraId="62451B46">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对于没有涉及分红的权益变更，期货公司可以提早对客户进行通知提醒，包括合约单位和行权价格变更信息等。</w:t>
      </w:r>
    </w:p>
    <w:p w14:paraId="739AD8A0">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盘中监控</w:t>
      </w:r>
    </w:p>
    <w:p w14:paraId="1C7D74BB">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除权除息日，期货公司应在规定时间（比如上午一次、下午一次等）对备兑开仓客户的备兑备用证券数量进行监控，监控指标为盘中客户备兑备用证券不足数量。期货公司可以与客户在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约定，当客户盘中备兑备用证券不足时，期货公司可以冻结该客户证券账户中未锁定的合约标的；如客户证券账户中无合约标的，期货公司应及时通知客户补足并锁定合约标的为备兑备用证券或自行平仓。</w:t>
      </w:r>
    </w:p>
    <w:p w14:paraId="11F817C6">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盘中客户备兑备用证券不足数量=开仓所需合约标的数量（按新合约单位）-已锁定的备兑备用证券数量-期货公司冻结的当日新增证券数量（买入等）。</w:t>
      </w:r>
    </w:p>
    <w:p w14:paraId="2A2A1D41">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当盘中客户备兑备用证券存在不足数量时，不得进行备兑新开仓，不允许进行备兑解锁。可备兑解锁的数量不超过按（已锁定的备兑备用证券数量-按新合约单位计算的所有备兑持仓所需的备兑备用证券）计算的数量。</w:t>
      </w:r>
    </w:p>
    <w:p w14:paraId="0345FC30">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盘后监控</w:t>
      </w:r>
    </w:p>
    <w:p w14:paraId="27A09F9B">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除权除息日，期货公司应对客户备兑证券进行监控。收盘后，期货公司依据中国结算发送的“强行平仓通知书”，应及时向客户发送强平通知，并通知客户在下一交易日规定时间点（比如10:00）以前补足备兑备用证券或对不足部分</w:t>
      </w:r>
      <w:r>
        <w:rPr>
          <w:rFonts w:hint="eastAsia" w:ascii="仿宋_GB2312" w:eastAsia="仿宋_GB2312" w:cs="仿宋_GB2312"/>
          <w:kern w:val="0"/>
          <w:sz w:val="28"/>
          <w:szCs w:val="28"/>
          <w:lang w:val="zh-CN"/>
        </w:rPr>
        <w:t>数量</w:t>
      </w:r>
      <w:r>
        <w:rPr>
          <w:rFonts w:hint="eastAsia" w:ascii="仿宋_GB2312" w:eastAsia="仿宋_GB2312" w:cs="仿宋_GB2312"/>
          <w:sz w:val="28"/>
          <w:szCs w:val="28"/>
        </w:rPr>
        <w:t>自行平仓。下一交易日，若客户未在规定时间补足备兑备用证券或自行平仓，期货公司应在规定时间（比如10:00）开始对客户实施强行平仓，并确保在11:30之前不存在备兑证券不足情况。</w:t>
      </w:r>
    </w:p>
    <w:p w14:paraId="48A30937">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（二）其他情况引起客户备兑证券不足的监控</w:t>
      </w:r>
    </w:p>
    <w:p w14:paraId="35F0FC54">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交收日日终，期货公司应监控是否因行权交收等导致备兑证券不足而收到中国结算的“强行平仓通知书”。</w:t>
      </w:r>
    </w:p>
    <w:p w14:paraId="73B53FDB">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交收日日终，客户应付券不足时，中国结算将使用备兑证券用于交收，从而导致该客户备兑证券不足。在收到中国结算的“强行平仓通知书”后，应及时通知并提醒客户在下一交易日规定时间点（比如10:00）以前补足备兑备用证券或对不足部分</w:t>
      </w:r>
      <w:r>
        <w:rPr>
          <w:rFonts w:hint="eastAsia" w:ascii="仿宋_GB2312" w:eastAsia="仿宋_GB2312" w:cs="仿宋_GB2312"/>
          <w:kern w:val="0"/>
          <w:sz w:val="28"/>
          <w:szCs w:val="28"/>
          <w:lang w:val="zh-CN"/>
        </w:rPr>
        <w:t>数量</w:t>
      </w:r>
      <w:r>
        <w:rPr>
          <w:rFonts w:hint="eastAsia" w:ascii="仿宋_GB2312" w:eastAsia="仿宋_GB2312" w:cs="仿宋_GB2312"/>
          <w:sz w:val="28"/>
          <w:szCs w:val="28"/>
        </w:rPr>
        <w:t>自行平仓。下一交易日，若客户未在规定时间补足备兑备用证券或自行平仓，期货公司应在规定时间（比如10:00）开始对客户实施强行平仓，并确保在11:30之前不存在备兑证券不足情况。</w:t>
      </w:r>
    </w:p>
    <w:p w14:paraId="3719049B">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（三）盘中代为锁定</w:t>
      </w:r>
    </w:p>
    <w:p w14:paraId="1C2C7C1E">
      <w:pPr>
        <w:spacing w:beforeLines="50" w:afterLines="50"/>
        <w:ind w:firstLine="560" w:firstLineChars="200"/>
        <w:rPr>
          <w:rFonts w:ascii="仿宋_GB2312" w:eastAsia="仿宋_GB2312" w:cs="仿宋_GB2312"/>
          <w:b/>
          <w:sz w:val="28"/>
          <w:szCs w:val="28"/>
        </w:rPr>
      </w:pPr>
      <w:r>
        <w:rPr>
          <w:rFonts w:hint="eastAsia" w:ascii="仿宋_GB2312" w:eastAsia="仿宋_GB2312" w:cs="仿宋_GB2312"/>
          <w:sz w:val="28"/>
          <w:szCs w:val="28"/>
        </w:rPr>
        <w:t>期货公司可以与客户在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期权经纪合同中约定，客户备兑证券不足时，期货公司可盘中冻结或锁定其证券账户里的相应数量的合约标的，避免客户发生备兑不足而导致被强平的风险。</w:t>
      </w:r>
    </w:p>
    <w:p w14:paraId="75729162">
      <w:pPr>
        <w:widowControl/>
        <w:jc w:val="left"/>
        <w:rPr>
          <w:rFonts w:ascii="仿宋_GB2312" w:hAnsi="Times New Roman" w:eastAsia="仿宋_GB2312"/>
          <w:b/>
          <w:bCs/>
          <w:sz w:val="28"/>
          <w:szCs w:val="28"/>
        </w:rPr>
      </w:pPr>
      <w:r>
        <w:rPr>
          <w:rFonts w:hint="eastAsia" w:ascii="仿宋_GB2312" w:eastAsia="仿宋_GB2312"/>
          <w:b/>
          <w:sz w:val="28"/>
          <w:szCs w:val="28"/>
        </w:rPr>
        <w:br w:type="page"/>
      </w:r>
    </w:p>
    <w:p w14:paraId="06BA146C">
      <w:pPr>
        <w:pStyle w:val="5"/>
        <w:spacing w:beforeLines="50" w:afterLines="50"/>
        <w:ind w:firstLine="0" w:firstLineChars="0"/>
        <w:jc w:val="center"/>
        <w:rPr>
          <w:rFonts w:ascii="黑体" w:hAnsi="黑体" w:eastAsia="黑体"/>
          <w:sz w:val="32"/>
        </w:rPr>
      </w:pPr>
      <w:bookmarkStart w:id="276" w:name="_Toc1881"/>
      <w:bookmarkStart w:id="277" w:name="_Toc23946989"/>
      <w:bookmarkStart w:id="278" w:name="_Toc6901"/>
      <w:bookmarkStart w:id="279" w:name="_Toc3971"/>
      <w:bookmarkStart w:id="280" w:name="_Toc408746740"/>
      <w:bookmarkStart w:id="281" w:name="_Toc12307"/>
      <w:r>
        <w:rPr>
          <w:rFonts w:hint="eastAsia" w:ascii="黑体" w:hAnsi="黑体" w:eastAsia="黑体"/>
          <w:sz w:val="32"/>
        </w:rPr>
        <w:t>第七章 资金风险管理</w:t>
      </w:r>
      <w:bookmarkEnd w:id="276"/>
      <w:bookmarkEnd w:id="277"/>
      <w:bookmarkEnd w:id="278"/>
      <w:bookmarkEnd w:id="279"/>
      <w:bookmarkEnd w:id="280"/>
      <w:bookmarkEnd w:id="281"/>
    </w:p>
    <w:p w14:paraId="6F73BABB">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为防止期货公司</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期权业务客户资金管理出现流动性风险，期货公司应对客户衍生品结算资金汇总账户和客户股票期权保证金账户的资金划拨进行盯市管理，并应在客户股票期权保证金账户中存入足额的结算准备金。</w:t>
      </w:r>
    </w:p>
    <w:p w14:paraId="3AB21920">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目前，中国结算暂不提供实时出金服务（未来提供服务时间待定）。</w:t>
      </w:r>
    </w:p>
    <w:p w14:paraId="1B3ED4E5">
      <w:pPr>
        <w:spacing w:before="0" w:beforeLines="-2147483648" w:after="0" w:afterLines="-2147483648"/>
        <w:ind w:firstLine="560"/>
        <w:rPr>
          <w:rFonts w:ascii="Times New Roman" w:hAnsi="Times New Roman" w:eastAsia="黑体"/>
          <w:sz w:val="28"/>
          <w:szCs w:val="28"/>
        </w:rPr>
      </w:pPr>
      <w:bookmarkStart w:id="282" w:name="_Toc10360"/>
      <w:bookmarkStart w:id="283" w:name="_Toc21883"/>
      <w:bookmarkStart w:id="284" w:name="_Toc408746741"/>
      <w:bookmarkStart w:id="285" w:name="_Toc13294"/>
      <w:bookmarkStart w:id="286" w:name="_Toc23946990"/>
      <w:bookmarkStart w:id="287" w:name="_Toc6524"/>
      <w:r>
        <w:rPr>
          <w:rFonts w:hint="default" w:ascii="Times New Roman" w:hAnsi="Times New Roman" w:eastAsia="黑体"/>
          <w:sz w:val="28"/>
          <w:szCs w:val="28"/>
        </w:rPr>
        <w:t>一、资金盯市管理</w:t>
      </w:r>
      <w:bookmarkEnd w:id="282"/>
      <w:bookmarkEnd w:id="283"/>
      <w:bookmarkEnd w:id="284"/>
      <w:bookmarkEnd w:id="285"/>
      <w:bookmarkEnd w:id="286"/>
      <w:bookmarkEnd w:id="287"/>
    </w:p>
    <w:p w14:paraId="20C5CE30">
      <w:pPr>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（一）资金盯市管理要求</w:t>
      </w:r>
    </w:p>
    <w:p w14:paraId="5104D664">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以保证客户的正常交易及公司的正常交收为首要目标、兼顾客户银衍转账的出金需求，期货公司应合理判断客户衍生品结算资金汇总账户与客户股票期权保证金账户之间的资金配置比例。</w:t>
      </w:r>
    </w:p>
    <w:p w14:paraId="1E6506CD">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期货公司应及时掌握公司银行存款余额变化情况，做好银衍转账客户出入金的实时监控。</w:t>
      </w:r>
    </w:p>
    <w:p w14:paraId="0D34D5C3">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期货公司应根据</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期权合约各义务方客户持仓情况和客户入金情况等，及时调度资金头寸，满足客户盘中正常开仓、公司盘后正常交收的要求。</w:t>
      </w:r>
    </w:p>
    <w:p w14:paraId="36F78BF9">
      <w:pPr>
        <w:spacing w:beforeLines="-2147483648" w:afterLines="-2147483648" w:line="240" w:lineRule="auto"/>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（二）盘中保证金占用比例实时监控</w:t>
      </w:r>
    </w:p>
    <w:p w14:paraId="58DB1689">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lang w:val="en-US" w:eastAsia="zh-CN"/>
        </w:rPr>
        <w:t>1.</w:t>
      </w:r>
      <w:r>
        <w:rPr>
          <w:rFonts w:hint="eastAsia" w:ascii="仿宋_GB2312" w:hAnsi="Times New Roman" w:eastAsia="仿宋_GB2312"/>
          <w:sz w:val="28"/>
          <w:szCs w:val="28"/>
        </w:rPr>
        <w:t>监控指标</w:t>
      </w:r>
    </w:p>
    <w:p w14:paraId="5774E94E">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期货公司应在盘中对保证金占用比例进行实时监控。</w:t>
      </w:r>
    </w:p>
    <w:p w14:paraId="2E18A638">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保证金占用比例=经纪业务已占用保证金/客户股票期权保证金账户总额</w:t>
      </w:r>
    </w:p>
    <w:p w14:paraId="1F770B5D">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经纪业务已占用保证金：指根据《风控办法》规定的保证金标准，按照单个客户账户双向头寸未对冲</w:t>
      </w:r>
      <w:r>
        <w:rPr>
          <w:rFonts w:hint="eastAsia" w:ascii="仿宋_GB2312" w:eastAsia="仿宋_GB2312"/>
          <w:sz w:val="28"/>
          <w:szCs w:val="28"/>
        </w:rPr>
        <w:t>及组合策略持仓</w:t>
      </w:r>
      <w:r>
        <w:rPr>
          <w:rFonts w:hint="eastAsia" w:ascii="仿宋_GB2312" w:hAnsi="Times New Roman" w:eastAsia="仿宋_GB2312"/>
          <w:sz w:val="28"/>
          <w:szCs w:val="28"/>
        </w:rPr>
        <w:t>的数据，计算的所有客户占用的保证金总和，包括已成交的和已申报未成交的义务仓期权合约占用的保证金之和。</w:t>
      </w:r>
    </w:p>
    <w:p w14:paraId="69C72BBD">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客户股票期权保证金账户总额：是期货公司存放在中国结算的，实时地用于其所有客户股票期权保证金管理的账户总金额。</w:t>
      </w:r>
    </w:p>
    <w:p w14:paraId="695EA9A3">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客户衍生品结算资金汇总账户总额：是期货公司在具有衍生品结算资格的银行开立的，用于存放客户衍生品交易的资金。</w:t>
      </w:r>
    </w:p>
    <w:p w14:paraId="5BA452F7">
      <w:pPr>
        <w:spacing w:beforeLines="50" w:afterLines="50" w:line="360" w:lineRule="auto"/>
        <w:ind w:firstLine="560" w:firstLineChars="200"/>
        <w:rPr>
          <w:rFonts w:ascii="仿宋_GB2312" w:hAnsi="宋体" w:eastAsia="仿宋_GB2312" w:cs="宋体"/>
          <w:kern w:val="0"/>
          <w:sz w:val="28"/>
          <w:szCs w:val="28"/>
        </w:rPr>
      </w:pPr>
      <w:r>
        <w:rPr>
          <w:rFonts w:hint="eastAsia" w:ascii="仿宋_GB2312" w:hAnsi="Times New Roman" w:eastAsia="仿宋_GB2312"/>
          <w:sz w:val="28"/>
          <w:szCs w:val="28"/>
        </w:rPr>
        <w:t>期货公司资金管理的主要目的是根据经纪业务已占用保证金的动态变化，将客户衍生品结算资金汇总账户的部分金额划拨至中国结算指定的客户股票期权保证金账户，从而实现：一方面期货公司的所有客户的实际开仓规模的最大值与其存放的保证金总额一致；另一方面满足客户盘中出金需求，减少客户资金的盘中占用。</w:t>
      </w:r>
    </w:p>
    <w:p w14:paraId="25E6BDC0">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lang w:val="en-US" w:eastAsia="zh-CN"/>
        </w:rPr>
        <w:t>2.</w:t>
      </w:r>
      <w:r>
        <w:rPr>
          <w:rFonts w:hint="eastAsia" w:ascii="仿宋_GB2312" w:hAnsi="Times New Roman" w:eastAsia="仿宋_GB2312"/>
          <w:sz w:val="28"/>
          <w:szCs w:val="28"/>
        </w:rPr>
        <w:t>资金警戒线和划拨线</w:t>
      </w:r>
    </w:p>
    <w:p w14:paraId="6C1BD6C6">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期货公司可依据保证金占用比例分别设置资金警戒线、资金划拨线。</w:t>
      </w:r>
    </w:p>
    <w:p w14:paraId="633EC4C5">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（1）资金划拨线：当保证金占用比例达到资金划拨线的一定比例（期货公司自定）时，比如当保证金占用比例为80%时，达到资金划拨线。</w:t>
      </w:r>
    </w:p>
    <w:p w14:paraId="384033E3">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当盘中期货公司经纪业务保证金占用比例高于资金划拨线时，期货公司相关业务人员应及时向存管结算相关部门提出入金需求，将资金从客户衍生品结算资金汇总账户划转至客户股票期权保证金账户，注明“客户资金”和“股票期权保证金账户号”，跟踪资金到账情况。</w:t>
      </w:r>
    </w:p>
    <w:p w14:paraId="0C4B8AEA">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（2）资金警戒线：当保证金占用比例低于资金划拨线时，比如当保证金占用比例为60%时，达到资金警戒线。</w:t>
      </w:r>
    </w:p>
    <w:p w14:paraId="17AD6AEF">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当盘中期货公司经纪业务保证金占用比例高于资金警戒线时，期货公司相关业务人员应及时向资金调拨人员预约划款，资金调拨人员随时做好调拨资金的准备。</w:t>
      </w:r>
    </w:p>
    <w:p w14:paraId="30C15807">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lang w:val="en-US" w:eastAsia="zh-CN"/>
        </w:rPr>
        <w:t>3.</w:t>
      </w:r>
      <w:r>
        <w:rPr>
          <w:rFonts w:hint="eastAsia" w:ascii="仿宋_GB2312" w:hAnsi="Times New Roman" w:eastAsia="仿宋_GB2312"/>
          <w:sz w:val="28"/>
          <w:szCs w:val="28"/>
        </w:rPr>
        <w:t>期货公司应根据公司</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期权业务规模、历史盘后交收金额与峰值、当天</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期权交易规模、客户活跃度、经纪业务占用保证金增速、客户入金情况等，设定每日资金警戒线、资金划拨线，并视情况每日进行动态调整。</w:t>
      </w:r>
    </w:p>
    <w:p w14:paraId="459AB431">
      <w:pPr>
        <w:spacing w:beforeLines="-2147483648" w:afterLines="-2147483648" w:line="240" w:lineRule="auto"/>
        <w:ind w:firstLine="560" w:firstLineChars="200"/>
        <w:rPr>
          <w:rFonts w:ascii="Times New Roman" w:hAnsi="Times New Roman" w:eastAsia="楷体_GB2312"/>
          <w:sz w:val="28"/>
          <w:szCs w:val="28"/>
        </w:rPr>
      </w:pPr>
      <w:r>
        <w:rPr>
          <w:rFonts w:hint="default" w:ascii="Times New Roman" w:hAnsi="Times New Roman" w:eastAsia="楷体_GB2312"/>
          <w:b w:val="0"/>
          <w:bCs w:val="0"/>
          <w:sz w:val="28"/>
          <w:szCs w:val="28"/>
        </w:rPr>
        <w:t>（三）盘后资金维持比例逐日盯市</w:t>
      </w:r>
    </w:p>
    <w:p w14:paraId="0B8B9366">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收盘后，期货公司应对盘后资金维持比例进行盯市管理。</w:t>
      </w:r>
    </w:p>
    <w:p w14:paraId="11543683">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盘后资金维持比例=（经纪业务维持保证金+行权净应付资金）/客户股票期权保证金账户余额</w:t>
      </w:r>
    </w:p>
    <w:p w14:paraId="453AB7FD">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经纪业务维持保证金：根据《风控办法》规定的保证金标准，按照单个客户双向持仓自动对冲后</w:t>
      </w:r>
      <w:r>
        <w:rPr>
          <w:rFonts w:hint="eastAsia" w:ascii="仿宋_GB2312" w:eastAsia="仿宋_GB2312"/>
          <w:sz w:val="28"/>
          <w:szCs w:val="28"/>
        </w:rPr>
        <w:t>及组合策略持仓</w:t>
      </w:r>
      <w:r>
        <w:rPr>
          <w:rFonts w:hint="eastAsia" w:ascii="仿宋_GB2312" w:hAnsi="Times New Roman" w:eastAsia="仿宋_GB2312"/>
          <w:sz w:val="28"/>
          <w:szCs w:val="28"/>
        </w:rPr>
        <w:t>计算的，所有账户的维持保证金总额。</w:t>
      </w:r>
    </w:p>
    <w:p w14:paraId="378D6CF2">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行权净应付资金：交收日，客户行权或被指派应付资金与应收资金累加，包括客户证券交收违约按现金结算资金，如为净应收，则行权净应付资金为0。</w:t>
      </w:r>
    </w:p>
    <w:p w14:paraId="73F46705">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收盘后，为了保证公司正常交收，期货公司应保证盘后资金维持比例不高于一定比例（比如90%）。基于客户在收盘后出金的可能性较大，期货公司需保留足够的资金满足客户出金需求。</w:t>
      </w:r>
    </w:p>
    <w:p w14:paraId="39C612AE">
      <w:pPr>
        <w:spacing w:beforeLines="-2147483648" w:afterLines="-2147483648" w:line="240" w:lineRule="auto"/>
        <w:ind w:firstLine="560" w:firstLineChars="200"/>
        <w:rPr>
          <w:rFonts w:ascii="Times New Roman" w:hAnsi="Times New Roman" w:eastAsia="楷体_GB2312"/>
          <w:b w:val="0"/>
          <w:bCs w:val="0"/>
          <w:sz w:val="28"/>
          <w:szCs w:val="28"/>
        </w:rPr>
      </w:pPr>
      <w:r>
        <w:rPr>
          <w:rFonts w:hint="default" w:ascii="Times New Roman" w:hAnsi="Times New Roman" w:eastAsia="楷体_GB2312"/>
          <w:b w:val="0"/>
          <w:bCs w:val="0"/>
          <w:sz w:val="28"/>
          <w:szCs w:val="28"/>
        </w:rPr>
        <w:t>（四）可用资金余额头寸监控</w:t>
      </w:r>
    </w:p>
    <w:p w14:paraId="66E32BE5">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期货公司应分别在开盘前、盘中和盘后，通过</w:t>
      </w:r>
      <w:r>
        <w:rPr>
          <w:rFonts w:hint="eastAsia" w:ascii="仿宋_GB2312" w:hAnsi="Times New Roman" w:eastAsia="仿宋_GB2312"/>
          <w:sz w:val="28"/>
          <w:szCs w:val="28"/>
          <w:lang w:val="en-US" w:eastAsia="zh-CN"/>
        </w:rPr>
        <w:t>本所</w:t>
      </w:r>
      <w:r>
        <w:rPr>
          <w:rFonts w:hint="eastAsia" w:ascii="仿宋_GB2312" w:hAnsi="Times New Roman" w:eastAsia="仿宋_GB2312"/>
          <w:sz w:val="28"/>
          <w:szCs w:val="28"/>
        </w:rPr>
        <w:t>交易系统查询公司在中国结算开立的客户股票期权保证金账户的可用余额，进行头寸监控：</w:t>
      </w:r>
    </w:p>
    <w:p w14:paraId="0D2DEACB">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lang w:val="en-US" w:eastAsia="zh-CN"/>
        </w:rPr>
        <w:t>1.</w:t>
      </w:r>
      <w:r>
        <w:rPr>
          <w:rFonts w:hint="eastAsia" w:ascii="仿宋_GB2312" w:hAnsi="Times New Roman" w:eastAsia="仿宋_GB2312"/>
          <w:sz w:val="28"/>
          <w:szCs w:val="28"/>
        </w:rPr>
        <w:t>盘中要保证客户股票期权保证金账户可用余额能满足客户的开仓需求；</w:t>
      </w:r>
    </w:p>
    <w:p w14:paraId="14172422">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lang w:val="en-US" w:eastAsia="zh-CN"/>
        </w:rPr>
        <w:t>2.</w:t>
      </w:r>
      <w:r>
        <w:rPr>
          <w:rFonts w:hint="eastAsia" w:ascii="仿宋_GB2312" w:hAnsi="Times New Roman" w:eastAsia="仿宋_GB2312"/>
          <w:sz w:val="28"/>
          <w:szCs w:val="28"/>
        </w:rPr>
        <w:t>开盘前和收盘后，要保证客户股票期权保证金账户可用余额高于最低结算准备余额（目前暂为200万）。开盘前，若结算准备金余额大于零而低于结算准备金最低余额，</w:t>
      </w:r>
      <w:r>
        <w:rPr>
          <w:rFonts w:hint="eastAsia" w:ascii="仿宋_GB2312" w:eastAsia="仿宋_GB2312" w:cs="仿宋_GB2312"/>
          <w:sz w:val="28"/>
          <w:szCs w:val="28"/>
          <w:lang w:eastAsia="zh-CN"/>
        </w:rPr>
        <w:t>本所</w:t>
      </w:r>
      <w:r>
        <w:rPr>
          <w:rFonts w:hint="eastAsia" w:ascii="仿宋_GB2312" w:hAnsi="Times New Roman" w:eastAsia="仿宋_GB2312"/>
          <w:sz w:val="28"/>
          <w:szCs w:val="28"/>
        </w:rPr>
        <w:t>前端控制将禁止客户新开仓（买入或卖出开仓禁止，允许备兑开仓）。</w:t>
      </w:r>
    </w:p>
    <w:p w14:paraId="5BE5155B">
      <w:pPr>
        <w:spacing w:beforeLines="50" w:afterLines="50" w:line="360" w:lineRule="auto"/>
        <w:ind w:firstLine="561" w:firstLineChars="200"/>
        <w:rPr>
          <w:rFonts w:ascii="仿宋_GB2312" w:hAnsi="Times New Roman" w:eastAsia="仿宋_GB2312"/>
          <w:b/>
          <w:bCs/>
          <w:sz w:val="28"/>
          <w:szCs w:val="28"/>
        </w:rPr>
      </w:pPr>
      <w:r>
        <w:rPr>
          <w:rFonts w:hint="eastAsia" w:ascii="仿宋_GB2312" w:hAnsi="Times New Roman" w:eastAsia="仿宋_GB2312"/>
          <w:b/>
          <w:bCs/>
          <w:sz w:val="28"/>
          <w:szCs w:val="28"/>
        </w:rPr>
        <w:t>（五）客户出金要求</w:t>
      </w:r>
    </w:p>
    <w:p w14:paraId="4B16FE2C">
      <w:pPr>
        <w:spacing w:before="156" w:after="156"/>
        <w:ind w:firstLine="560" w:firstLineChars="200"/>
        <w:rPr>
          <w:rFonts w:ascii="仿宋_GB2312" w:hAnsi="Times New Roman" w:eastAsia="仿宋_GB2312"/>
          <w:sz w:val="28"/>
          <w:szCs w:val="28"/>
        </w:rPr>
      </w:pPr>
      <w:r>
        <w:rPr>
          <w:rFonts w:hint="eastAsia" w:ascii="仿宋_GB2312" w:hAnsi="Times New Roman" w:eastAsia="仿宋_GB2312"/>
          <w:sz w:val="28"/>
          <w:szCs w:val="28"/>
        </w:rPr>
        <w:t>期货公司根据与客户在经纪合同中的约定，设置的提取线计算客户可提现资金，允许客户进行提现。对大额资金提取，可以要求先预约。</w:t>
      </w:r>
    </w:p>
    <w:p w14:paraId="02DED8AC">
      <w:pPr>
        <w:numPr>
          <w:ilvl w:val="0"/>
          <w:numId w:val="3"/>
        </w:numPr>
        <w:spacing w:before="156" w:after="156"/>
        <w:ind w:firstLine="561" w:firstLineChars="200"/>
        <w:rPr>
          <w:rFonts w:ascii="仿宋_GB2312" w:eastAsia="仿宋_GB2312"/>
          <w:b/>
          <w:sz w:val="28"/>
          <w:szCs w:val="28"/>
        </w:rPr>
      </w:pPr>
      <w:r>
        <w:rPr>
          <w:rFonts w:hint="eastAsia" w:ascii="仿宋_GB2312" w:eastAsia="仿宋_GB2312"/>
          <w:b/>
          <w:sz w:val="28"/>
          <w:szCs w:val="28"/>
        </w:rPr>
        <w:t>卖出平仓注意事项</w:t>
      </w:r>
    </w:p>
    <w:p w14:paraId="1E10B015">
      <w:pPr>
        <w:spacing w:beforeLines="50" w:afterLines="50"/>
        <w:ind w:firstLine="560" w:firstLineChars="200"/>
        <w:rPr>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cs="仿宋_GB2312"/>
          <w:sz w:val="28"/>
          <w:szCs w:val="28"/>
        </w:rPr>
        <w:t>对投资者卖出平仓应注意交易成本的计算。若出现卖出平仓所得无法覆盖交易成本的情况，应在客户端进行提醒。若客户执意平仓，方可接受委托。如预算成交后客户资产出现透支状态，期货公司可拒绝该笔委托。</w:t>
      </w:r>
    </w:p>
    <w:p w14:paraId="048EE382">
      <w:pPr>
        <w:spacing w:before="0" w:beforeLines="-2147483648" w:after="0" w:afterLines="-2147483648"/>
        <w:ind w:firstLine="560"/>
        <w:rPr>
          <w:rFonts w:ascii="Times New Roman" w:hAnsi="Times New Roman" w:eastAsia="黑体"/>
          <w:sz w:val="28"/>
          <w:szCs w:val="28"/>
        </w:rPr>
      </w:pPr>
      <w:bookmarkStart w:id="288" w:name="_Toc11204"/>
      <w:bookmarkStart w:id="289" w:name="_Toc19670"/>
      <w:bookmarkStart w:id="290" w:name="_Toc23946991"/>
      <w:bookmarkStart w:id="291" w:name="_Toc5460"/>
      <w:bookmarkStart w:id="292" w:name="_Toc408746742"/>
      <w:bookmarkStart w:id="293" w:name="_Toc12394"/>
      <w:r>
        <w:rPr>
          <w:rFonts w:hint="default" w:ascii="Times New Roman" w:hAnsi="Times New Roman" w:eastAsia="黑体"/>
          <w:sz w:val="28"/>
          <w:szCs w:val="28"/>
        </w:rPr>
        <w:t>二、资金划拨应急处理</w:t>
      </w:r>
      <w:bookmarkEnd w:id="288"/>
      <w:bookmarkEnd w:id="289"/>
      <w:bookmarkEnd w:id="290"/>
      <w:bookmarkEnd w:id="291"/>
      <w:bookmarkEnd w:id="292"/>
      <w:bookmarkEnd w:id="293"/>
    </w:p>
    <w:p w14:paraId="1E2966A8">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期货公司应建立客户资金存取、划拨、应对信息系统故障等异常和突发情况的应急预案，具体要求包括但不限于：</w:t>
      </w:r>
    </w:p>
    <w:p w14:paraId="145E5CB1">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lang w:val="en-US" w:eastAsia="zh-CN"/>
        </w:rPr>
        <w:t>1.</w:t>
      </w:r>
      <w:r>
        <w:rPr>
          <w:rFonts w:hint="eastAsia" w:ascii="仿宋_GB2312" w:hAnsi="Times New Roman" w:eastAsia="仿宋_GB2312"/>
          <w:sz w:val="28"/>
          <w:szCs w:val="28"/>
        </w:rPr>
        <w:t>期货公司应与各结算银行商谈并签订客户资金应急划款协议或备忘录，建立客户资金存取和交收的应急备用划款方式，明确因技术故障等影响客户资金存取及交收时，相关各方之间的备用操作流程和沟通协调机制，保证客户资金存取和交收的正常有序进行。</w:t>
      </w:r>
    </w:p>
    <w:p w14:paraId="47B07289">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lang w:val="en-US" w:eastAsia="zh-CN"/>
        </w:rPr>
        <w:t>2.</w:t>
      </w:r>
      <w:r>
        <w:rPr>
          <w:rFonts w:hint="eastAsia" w:ascii="仿宋_GB2312" w:hAnsi="Times New Roman" w:eastAsia="仿宋_GB2312"/>
          <w:sz w:val="28"/>
          <w:szCs w:val="28"/>
        </w:rPr>
        <w:t>期货公司应建立多家银行账户划拨备用机制，一旦一家银行账户结算出现问题或延迟，立即启用其他银行账户划拨资金。</w:t>
      </w:r>
    </w:p>
    <w:p w14:paraId="687085A7">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lang w:val="en-US" w:eastAsia="zh-CN"/>
        </w:rPr>
        <w:t>3.</w:t>
      </w:r>
      <w:r>
        <w:rPr>
          <w:rFonts w:hint="eastAsia" w:ascii="仿宋_GB2312" w:hAnsi="Times New Roman" w:eastAsia="仿宋_GB2312"/>
          <w:sz w:val="28"/>
          <w:szCs w:val="28"/>
        </w:rPr>
        <w:t>期货公司应通过和银行建立多种替代方式的资金划拨路径，一旦结算出现异常，可以立即通过其他替代划拨方式完成资金划拨。和银行建立良好的结算关系，由银行指定专人负责跟踪每笔划拨资金。</w:t>
      </w:r>
    </w:p>
    <w:p w14:paraId="6945D1E4">
      <w:pPr>
        <w:spacing w:beforeLines="50" w:afterLines="50" w:line="360" w:lineRule="auto"/>
        <w:ind w:firstLine="560" w:firstLineChars="200"/>
        <w:rPr>
          <w:rFonts w:ascii="仿宋_GB2312" w:hAnsi="Times New Roman" w:eastAsia="仿宋_GB2312"/>
          <w:b/>
          <w:bCs/>
          <w:sz w:val="28"/>
          <w:szCs w:val="28"/>
        </w:rPr>
      </w:pPr>
      <w:r>
        <w:rPr>
          <w:rFonts w:hint="eastAsia" w:ascii="仿宋_GB2312" w:hAnsi="Times New Roman" w:eastAsia="仿宋_GB2312"/>
          <w:sz w:val="28"/>
          <w:szCs w:val="28"/>
          <w:lang w:val="en-US" w:eastAsia="zh-CN"/>
        </w:rPr>
        <w:t>4.</w:t>
      </w:r>
      <w:r>
        <w:rPr>
          <w:rFonts w:hint="eastAsia" w:ascii="仿宋_GB2312" w:hAnsi="Times New Roman" w:eastAsia="仿宋_GB2312"/>
          <w:sz w:val="28"/>
          <w:szCs w:val="28"/>
        </w:rPr>
        <w:t>期货公司应当与结算银行建立日终数据交换和差异处理机制，保证客户下一交易日的正常交易和资金存取。</w:t>
      </w:r>
    </w:p>
    <w:p w14:paraId="4E1D0EEE">
      <w:pPr>
        <w:pStyle w:val="5"/>
        <w:spacing w:beforeLines="50" w:afterLines="50"/>
        <w:ind w:firstLine="0" w:firstLineChars="0"/>
        <w:jc w:val="center"/>
        <w:rPr>
          <w:rFonts w:ascii="黑体" w:hAnsi="黑体" w:eastAsia="黑体"/>
          <w:sz w:val="32"/>
        </w:rPr>
      </w:pPr>
      <w:r>
        <w:rPr>
          <w:rFonts w:hint="eastAsia" w:ascii="仿宋_GB2312" w:hAnsi="Times New Roman"/>
          <w:szCs w:val="28"/>
        </w:rPr>
        <w:br w:type="page"/>
      </w:r>
      <w:bookmarkStart w:id="294" w:name="_Toc7355"/>
      <w:bookmarkStart w:id="295" w:name="_Toc408746743"/>
      <w:bookmarkStart w:id="296" w:name="_Toc32619"/>
      <w:bookmarkStart w:id="297" w:name="_Toc23946992"/>
      <w:bookmarkStart w:id="298" w:name="_Toc26518"/>
      <w:bookmarkStart w:id="299" w:name="_Toc24183"/>
      <w:r>
        <w:rPr>
          <w:rFonts w:hint="eastAsia" w:ascii="黑体" w:hAnsi="黑体" w:eastAsia="黑体"/>
          <w:sz w:val="32"/>
        </w:rPr>
        <w:t>第八章 强行平仓管理</w:t>
      </w:r>
      <w:bookmarkEnd w:id="294"/>
      <w:bookmarkEnd w:id="295"/>
      <w:bookmarkEnd w:id="296"/>
      <w:bookmarkEnd w:id="297"/>
      <w:bookmarkEnd w:id="298"/>
      <w:bookmarkEnd w:id="299"/>
    </w:p>
    <w:p w14:paraId="190DB552">
      <w:pPr>
        <w:spacing w:before="0" w:beforeLines="-2147483648" w:after="0" w:afterLines="-2147483648"/>
        <w:ind w:firstLine="560"/>
        <w:rPr>
          <w:rFonts w:ascii="Times New Roman" w:hAnsi="Times New Roman" w:eastAsia="黑体"/>
          <w:sz w:val="28"/>
          <w:szCs w:val="28"/>
        </w:rPr>
      </w:pPr>
      <w:bookmarkStart w:id="300" w:name="_Toc16871"/>
      <w:bookmarkStart w:id="301" w:name="_Toc6782"/>
      <w:bookmarkStart w:id="302" w:name="_Toc23946993"/>
      <w:bookmarkStart w:id="303" w:name="_Toc16159"/>
      <w:bookmarkStart w:id="304" w:name="一、保证金不足强行平仓"/>
      <w:bookmarkStart w:id="305" w:name="_Toc21422"/>
      <w:bookmarkStart w:id="306" w:name="_Toc408665043"/>
      <w:r>
        <w:rPr>
          <w:rFonts w:hint="default" w:ascii="Times New Roman" w:hAnsi="Times New Roman" w:eastAsia="黑体"/>
          <w:sz w:val="28"/>
          <w:szCs w:val="28"/>
        </w:rPr>
        <w:t>一、保证金不足强行平仓</w:t>
      </w:r>
      <w:bookmarkEnd w:id="300"/>
      <w:bookmarkEnd w:id="301"/>
      <w:bookmarkEnd w:id="302"/>
      <w:bookmarkEnd w:id="303"/>
      <w:bookmarkEnd w:id="304"/>
      <w:bookmarkEnd w:id="305"/>
      <w:bookmarkEnd w:id="306"/>
    </w:p>
    <w:p w14:paraId="4111399D">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（一）触发条件</w:t>
      </w:r>
    </w:p>
    <w:p w14:paraId="20ACF200">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盘中监控</w:t>
      </w:r>
    </w:p>
    <w:p w14:paraId="04528F90">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（1）客户实时风险值1达到或者高于公司盘中平仓线，且未能在规定时内补足或者自行平仓，期货公司可以在约定时间对客户进行强行平仓。</w:t>
      </w:r>
    </w:p>
    <w:p w14:paraId="51974890">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（2）客户实时风险值2达到或者高于即时处置线，期货公司根据与客户约定可即时对客户进行强行平仓。</w:t>
      </w:r>
    </w:p>
    <w:p w14:paraId="2F9354B4">
      <w:pPr>
        <w:widowControl/>
        <w:spacing w:beforeLines="50" w:afterLines="50"/>
        <w:ind w:firstLine="560" w:firstLineChars="200"/>
        <w:rPr>
          <w:rFonts w:ascii="仿宋_GB2312" w:eastAsia="仿宋_GB2312"/>
          <w:sz w:val="28"/>
          <w:szCs w:val="28"/>
        </w:rPr>
      </w:pPr>
      <w:r>
        <w:rPr>
          <w:rFonts w:hint="eastAsia" w:ascii="仿宋_GB2312" w:eastAsia="仿宋_GB2312"/>
          <w:sz w:val="28"/>
          <w:szCs w:val="28"/>
        </w:rPr>
        <w:t>期货公司对其客户的组合策略实施强行平仓的，应当提交强制解除组合策略指令，再对组合策略中的义务仓和权利仓实施强行平仓。</w:t>
      </w:r>
      <w:r>
        <w:rPr>
          <w:rFonts w:hint="eastAsia" w:ascii="仿宋_GB2312" w:eastAsia="仿宋_GB2312"/>
          <w:sz w:val="28"/>
          <w:szCs w:val="28"/>
          <w:lang w:eastAsia="zh-CN"/>
        </w:rPr>
        <w:t>本所</w:t>
      </w:r>
      <w:r>
        <w:rPr>
          <w:rFonts w:hint="eastAsia" w:ascii="仿宋_GB2312" w:eastAsia="仿宋_GB2312"/>
          <w:sz w:val="28"/>
          <w:szCs w:val="28"/>
        </w:rPr>
        <w:t>对期货公司提交强制解除组合策略的指令进行结算参与人层面的资金前端校验。</w:t>
      </w:r>
    </w:p>
    <w:p w14:paraId="2831DFC9">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期货公司对客户的买入平仓指令可不检查资金是否足额，若采取资金前端控制，应建立“不足时由客户自行平仓或期货公司进行强行平仓”相关操作流程。</w:t>
      </w:r>
    </w:p>
    <w:p w14:paraId="08E703C1">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盘后监控</w:t>
      </w:r>
    </w:p>
    <w:p w14:paraId="6A114F3C">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（1）客户维持保证金比例1达到或者高于公司盘后平仓线，且未能在规定时间内补足或者自行平仓，期货公司应在下一交易日（T+1日）约定时间对客户进行强行平仓。</w:t>
      </w:r>
    </w:p>
    <w:p w14:paraId="3ADCC5B4">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（2）客户维持保证金比2达到或者高于交易所平仓线，且未能在规定时间内补足或者自行平仓，期货公司应在下一交易日（T+1日）上午开盘后尽快对客户进行强行平仓。</w:t>
      </w:r>
    </w:p>
    <w:p w14:paraId="2B55F9A3">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（二）平仓原则</w:t>
      </w:r>
    </w:p>
    <w:p w14:paraId="585C0BC8">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期货公司对客户进行强行平仓可采用以下原则：</w:t>
      </w:r>
    </w:p>
    <w:p w14:paraId="66D4F166">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按客户保证金不足数额确定客户平仓顺序；</w:t>
      </w:r>
    </w:p>
    <w:p w14:paraId="384B18C7">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对待平仓合约，按前一交易日日终对冲后持仓量由大到小顺序选取待平仓合约，或占用保证金由大到小顺序选取待平仓合约，或可释放保证金由大到小顺序选取待平仓合约等。</w:t>
      </w:r>
    </w:p>
    <w:p w14:paraId="61D10D72">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期货公司可依照上述原则对客户的部分或全部合约强行平仓，直至低于追保线。</w:t>
      </w:r>
    </w:p>
    <w:p w14:paraId="31CB852D">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期货公司应当在与客户签订的</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期权经纪合同中，明确约定对客户执行强行平仓的具体条件与时间，包括可约定“对未持有义务仓而资金余额小于零的客户，可对权利仓进行平仓等”。</w:t>
      </w:r>
    </w:p>
    <w:p w14:paraId="5B507C73">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（三）平仓流程</w:t>
      </w:r>
    </w:p>
    <w:p w14:paraId="2377E43F">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未收到中国结算强平通知书情况下期货公司对客户发起的强平</w:t>
      </w:r>
    </w:p>
    <w:p w14:paraId="78AB106D">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（1）盘中</w:t>
      </w:r>
    </w:p>
    <w:p w14:paraId="170A68D1">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盘中监控，客户实时风险值1高于公司盘中平仓线。期货公司应以邮件、短信、交易端提醒等形式</w:t>
      </w:r>
      <w:r>
        <w:rPr>
          <w:rFonts w:hint="eastAsia" w:ascii="仿宋_GB2312" w:eastAsia="仿宋_GB2312"/>
          <w:sz w:val="28"/>
          <w:szCs w:val="28"/>
        </w:rPr>
        <w:t>（至少采用两种形式）</w:t>
      </w:r>
      <w:r>
        <w:rPr>
          <w:rFonts w:hint="eastAsia" w:ascii="仿宋_GB2312" w:eastAsia="仿宋_GB2312" w:cs="仿宋_GB2312"/>
          <w:sz w:val="28"/>
          <w:szCs w:val="28"/>
        </w:rPr>
        <w:t>向客户发送“强行平仓警示通知”，并要求客户在约定时间（可以是当日某时或下一交易日的某个时间点）前追加保证金或自行平仓，否则公司将于该时间实施强行平仓。</w:t>
      </w:r>
    </w:p>
    <w:p w14:paraId="4BEA65AC">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若客户账户风险值持续上升，且客户实时风险值2高于即时处置线，期货公司根据</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期权经纪合同中的约定，可即时对客户进行强行平仓。</w:t>
      </w:r>
    </w:p>
    <w:p w14:paraId="10F1A663">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eastAsia="zh-CN"/>
        </w:rPr>
        <w:t>（</w:t>
      </w:r>
      <w:r>
        <w:rPr>
          <w:rFonts w:hint="eastAsia" w:ascii="仿宋_GB2312" w:eastAsia="仿宋_GB2312" w:cs="仿宋_GB2312"/>
          <w:sz w:val="28"/>
          <w:szCs w:val="28"/>
          <w:lang w:val="en-US" w:eastAsia="zh-CN"/>
        </w:rPr>
        <w:t>2</w:t>
      </w:r>
      <w:r>
        <w:rPr>
          <w:rFonts w:hint="eastAsia" w:ascii="仿宋_GB2312" w:eastAsia="仿宋_GB2312" w:cs="仿宋_GB2312"/>
          <w:sz w:val="28"/>
          <w:szCs w:val="28"/>
          <w:lang w:eastAsia="zh-CN"/>
        </w:rPr>
        <w:t>）</w:t>
      </w:r>
      <w:r>
        <w:rPr>
          <w:rFonts w:hint="eastAsia" w:ascii="仿宋_GB2312" w:eastAsia="仿宋_GB2312" w:cs="仿宋_GB2312"/>
          <w:sz w:val="28"/>
          <w:szCs w:val="28"/>
        </w:rPr>
        <w:t>盘后</w:t>
      </w:r>
    </w:p>
    <w:p w14:paraId="70263156">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日终结算后，若客户维持保证金比例1高于公司盘后平仓线。期货公司应再次以邮件、短信、交易端提醒等形式</w:t>
      </w:r>
      <w:r>
        <w:rPr>
          <w:rFonts w:hint="eastAsia" w:ascii="仿宋_GB2312" w:eastAsia="仿宋_GB2312"/>
          <w:sz w:val="28"/>
          <w:szCs w:val="28"/>
        </w:rPr>
        <w:t>（至少采用两种形式）</w:t>
      </w:r>
      <w:r>
        <w:rPr>
          <w:rFonts w:hint="eastAsia" w:ascii="仿宋_GB2312" w:eastAsia="仿宋_GB2312" w:cs="仿宋_GB2312"/>
          <w:sz w:val="28"/>
          <w:szCs w:val="28"/>
        </w:rPr>
        <w:t>向客户发送“强行平仓警示通知”，并要求客户在下一交易日约定时间前追加保证金或自行平仓。否则期货公司可按照与客户的约定执行强行平仓。</w:t>
      </w:r>
    </w:p>
    <w:p w14:paraId="3300A1E1">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日终结算后，若客户维持保证金比例2高于交易所平仓线，期货公司应以电话、邮件、短信、交易端提醒等形式向客户发送“强行平仓通知”，若客户未能在规定时间内补足或者自行平仓，由期货公司尽快对客户进行强行平仓。</w:t>
      </w:r>
    </w:p>
    <w:p w14:paraId="23B96FC2">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收到中国结算强平通知书情况下期货公司对客户发起的强平</w:t>
      </w:r>
    </w:p>
    <w:p w14:paraId="1A02205D">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当期货公司结算准备金小于零时，中国结算随当日结算数据向有关期货公司发送“强行平仓通知书”。相关期货公司应在收到通知书后在按中国结算要求在规定时间（下一交易日9:00之前）补足保证金。</w:t>
      </w:r>
    </w:p>
    <w:p w14:paraId="6C17B052">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如无法补足保证金，应对维持保证金比例1高于公司盘后平仓线或维持保证金比例2高于交易所平仓线的客户按相应日常平仓流程处理，并确保在收到通知书后的次一交易日上午11:30前，按要求对保证金未予补足部分进行强行平仓。</w:t>
      </w:r>
    </w:p>
    <w:p w14:paraId="4E69F682">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如收到通知书的次一交易日上午，全部合约停牌（即市场停市）且下午有恢复交易时，期货公司应当及时入金或在恢复交易后进行强行平仓，若日终保证金足额，下一交易日，中国结算将不进行保证金不足强行平仓（该情况下，期货公司可以上午入金以尽快消除保证金不足的情形）；若日终保证金不足额，该日日终中国结算将向有关期货公司发送“强行平仓通知书”，期货公司收到通知书后应在规定时间内补足资金或强行平仓。全天市场停市下，强行平仓流程顺延至恢复交易日首日。</w:t>
      </w:r>
    </w:p>
    <w:p w14:paraId="38428916">
      <w:pPr>
        <w:spacing w:before="0" w:beforeLines="-2147483648" w:after="0" w:afterLines="-2147483648"/>
        <w:ind w:firstLine="560"/>
        <w:rPr>
          <w:rFonts w:ascii="Times New Roman" w:hAnsi="Times New Roman" w:eastAsia="黑体"/>
          <w:sz w:val="28"/>
          <w:szCs w:val="28"/>
        </w:rPr>
      </w:pPr>
      <w:bookmarkStart w:id="307" w:name="_Toc10032"/>
      <w:bookmarkStart w:id="308" w:name="_Toc9273"/>
      <w:bookmarkStart w:id="309" w:name="_Toc25149"/>
      <w:bookmarkStart w:id="310" w:name="_Toc1309"/>
      <w:bookmarkStart w:id="311" w:name="_Toc408665044"/>
      <w:bookmarkStart w:id="312" w:name="_Toc23946994"/>
      <w:r>
        <w:rPr>
          <w:rFonts w:hint="default" w:ascii="Times New Roman" w:hAnsi="Times New Roman" w:eastAsia="黑体"/>
          <w:sz w:val="28"/>
          <w:szCs w:val="28"/>
        </w:rPr>
        <w:t>二、备兑不足强行平仓</w:t>
      </w:r>
      <w:bookmarkEnd w:id="307"/>
      <w:bookmarkEnd w:id="308"/>
      <w:bookmarkEnd w:id="309"/>
      <w:bookmarkEnd w:id="310"/>
      <w:bookmarkEnd w:id="311"/>
      <w:bookmarkEnd w:id="312"/>
    </w:p>
    <w:p w14:paraId="12B5619B">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（一）触发条件</w:t>
      </w:r>
    </w:p>
    <w:p w14:paraId="5080F7DE">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期货公司应对客户备兑证券情况进行日常监控，及时关注有可能导致客户备兑证券数量不足的影响因素。导致客户备兑证券数量不足的原因包括但不限于：</w:t>
      </w:r>
    </w:p>
    <w:p w14:paraId="16C1E967">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合约标的发生除权除息变动导致备兑证券数量不足；</w:t>
      </w:r>
    </w:p>
    <w:p w14:paraId="355BADBE">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行权交收应付证券不足，不足部分使用备兑证券，从而导致备兑证券数量不足；</w:t>
      </w:r>
    </w:p>
    <w:p w14:paraId="13101367">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其他导致备兑证券数量不足的情形。</w:t>
      </w:r>
    </w:p>
    <w:p w14:paraId="1C549E73">
      <w:pPr>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（二）平仓原则</w:t>
      </w:r>
    </w:p>
    <w:p w14:paraId="59808064">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当客户出现备兑证券数量不足，且未能在规定时间内补足备兑备用证券或未能对不足部分</w:t>
      </w:r>
      <w:r>
        <w:rPr>
          <w:rFonts w:hint="eastAsia" w:ascii="仿宋_GB2312" w:eastAsia="仿宋_GB2312" w:cs="仿宋_GB2312"/>
          <w:kern w:val="0"/>
          <w:sz w:val="28"/>
          <w:szCs w:val="28"/>
          <w:lang w:val="zh-CN"/>
        </w:rPr>
        <w:t>数量</w:t>
      </w:r>
      <w:r>
        <w:rPr>
          <w:rFonts w:hint="eastAsia" w:ascii="仿宋_GB2312" w:eastAsia="仿宋_GB2312" w:cs="仿宋_GB2312"/>
          <w:sz w:val="28"/>
          <w:szCs w:val="28"/>
        </w:rPr>
        <w:t>自行平仓时，期货公司应当对该客户进行强行平仓。参考原则如下：</w:t>
      </w:r>
    </w:p>
    <w:p w14:paraId="0C3DEBD8">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对持有备兑证券所对应合约的账户，期货公司应按照备兑证券不足数量由大到小的顺序选取账户作为平仓账户；</w:t>
      </w:r>
    </w:p>
    <w:p w14:paraId="07F9E637">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再按照上一交易日收盘后备兑证券不足账户内对应合约持仓量由大到小的顺序选取平仓合约。</w:t>
      </w:r>
    </w:p>
    <w:p w14:paraId="08A84A8A">
      <w:pPr>
        <w:widowControl/>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（三）平仓流程</w:t>
      </w:r>
    </w:p>
    <w:p w14:paraId="2D1EA341">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未收到中国结算强平通知书情况下期货公司处理流程</w:t>
      </w:r>
    </w:p>
    <w:p w14:paraId="3BF7F585">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期货公司盘中应对客户备兑证券情况进行日间监控。对于当日盘中客户备兑证券数量不足的，期货公司应及时以电话、邮件、短信、交易端提醒等形式</w:t>
      </w:r>
      <w:r>
        <w:rPr>
          <w:rFonts w:hint="eastAsia" w:ascii="仿宋_GB2312" w:eastAsia="仿宋_GB2312"/>
          <w:sz w:val="28"/>
          <w:szCs w:val="28"/>
        </w:rPr>
        <w:t>（至少采用两种形式）</w:t>
      </w:r>
      <w:r>
        <w:rPr>
          <w:rFonts w:hint="eastAsia" w:ascii="仿宋_GB2312" w:eastAsia="仿宋_GB2312" w:cs="仿宋_GB2312"/>
          <w:sz w:val="28"/>
          <w:szCs w:val="28"/>
        </w:rPr>
        <w:t>向客户发送“补券或自行平仓通知”，要求客户于在约定时间前补足备兑备用证券或对不足部分</w:t>
      </w:r>
      <w:r>
        <w:rPr>
          <w:rFonts w:hint="eastAsia" w:ascii="仿宋_GB2312" w:eastAsia="仿宋_GB2312" w:cs="仿宋_GB2312"/>
          <w:kern w:val="0"/>
          <w:sz w:val="28"/>
          <w:szCs w:val="28"/>
          <w:lang w:val="zh-CN"/>
        </w:rPr>
        <w:t>数量</w:t>
      </w:r>
      <w:r>
        <w:rPr>
          <w:rFonts w:hint="eastAsia" w:ascii="仿宋_GB2312" w:eastAsia="仿宋_GB2312" w:cs="仿宋_GB2312"/>
          <w:sz w:val="28"/>
          <w:szCs w:val="28"/>
        </w:rPr>
        <w:t>自行平仓。</w:t>
      </w:r>
    </w:p>
    <w:p w14:paraId="06C950FA">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收到中国结算强平通知书情况下期货公司发起的强平</w:t>
      </w:r>
    </w:p>
    <w:p w14:paraId="7C38A6D6">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期货公司在当日盘后收到中国结算备兑不足强平通知书的，相关期货公司应在收到通知书后立即进行自查并确定备兑证券数量不足的客户账户，以电话、邮件、短信、交易端提醒等形式</w:t>
      </w:r>
      <w:r>
        <w:rPr>
          <w:rFonts w:hint="eastAsia" w:ascii="仿宋_GB2312" w:eastAsia="仿宋_GB2312"/>
          <w:sz w:val="28"/>
          <w:szCs w:val="28"/>
        </w:rPr>
        <w:t>（至少采用两种形式）</w:t>
      </w:r>
      <w:r>
        <w:rPr>
          <w:rFonts w:hint="eastAsia" w:ascii="仿宋_GB2312" w:eastAsia="仿宋_GB2312" w:cs="仿宋_GB2312"/>
          <w:sz w:val="28"/>
          <w:szCs w:val="28"/>
        </w:rPr>
        <w:t>向客户发送“强行平仓通知”，并要求客户在下一交易日上午约定时间（比如10:00）前补足备兑备用证券或对不足部分</w:t>
      </w:r>
      <w:r>
        <w:rPr>
          <w:rFonts w:hint="eastAsia" w:ascii="仿宋_GB2312" w:eastAsia="仿宋_GB2312" w:cs="仿宋_GB2312"/>
          <w:kern w:val="0"/>
          <w:sz w:val="28"/>
          <w:szCs w:val="28"/>
          <w:lang w:val="zh-CN"/>
        </w:rPr>
        <w:t>数量</w:t>
      </w:r>
      <w:r>
        <w:rPr>
          <w:rFonts w:hint="eastAsia" w:ascii="仿宋_GB2312" w:eastAsia="仿宋_GB2312" w:cs="仿宋_GB2312"/>
          <w:sz w:val="28"/>
          <w:szCs w:val="28"/>
        </w:rPr>
        <w:t>自行平仓。在期货公司约定时间，若客户没有补足备兑备用证券或未能对不足部分</w:t>
      </w:r>
      <w:r>
        <w:rPr>
          <w:rFonts w:hint="eastAsia" w:ascii="仿宋_GB2312" w:eastAsia="仿宋_GB2312" w:cs="仿宋_GB2312"/>
          <w:kern w:val="0"/>
          <w:sz w:val="28"/>
          <w:szCs w:val="28"/>
          <w:lang w:val="zh-CN"/>
        </w:rPr>
        <w:t>数量</w:t>
      </w:r>
      <w:r>
        <w:rPr>
          <w:rFonts w:hint="eastAsia" w:ascii="仿宋_GB2312" w:eastAsia="仿宋_GB2312" w:cs="仿宋_GB2312"/>
          <w:sz w:val="28"/>
          <w:szCs w:val="28"/>
        </w:rPr>
        <w:t>自行平仓，期货公司应根据与客户约定的强行平仓原则在约定时间对客户账户执行强行平仓，确保符合中国结算或者</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规定。</w:t>
      </w:r>
    </w:p>
    <w:p w14:paraId="2A622C9C">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如收到通知书的次一交易日上午，全部合约停牌（即市场停市）且下午有恢复交易时，期货公司应当督促客户补足备兑备用证券或在下午恢复交易后及时进行强行平仓，若日终备兑证券不足的情况消除，所司将不进行备兑证券不足强行平仓；若日终备兑证券仍不足，中国结算将向相关期货公司发送备兑证券不足强平通知书。全天市场停市下，强行平仓流程顺延至恢复交易日首日。</w:t>
      </w:r>
    </w:p>
    <w:p w14:paraId="4DAE3816">
      <w:pPr>
        <w:widowControl/>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（四）其他</w:t>
      </w:r>
    </w:p>
    <w:p w14:paraId="0DC70171">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除权除息日客户现货账户备兑备用证券数量不足，但存在在途数量（配股送股未上市流通的），且客户备兑备用证券数量与在途数量合并计算后足额的，该客户可视为除权除息日备兑证券数量足额。期货公司不需要在除权除息日通知客户进行补券或自行平仓，或进行强行平仓操作。客户备兑备用证券数量与在途数量合并计算后仍不足的，需要通知客户补足不足部分。在途数量仅能作为已有的备兑持仓的备兑备用证券，不能用于备兑新开仓。</w:t>
      </w:r>
    </w:p>
    <w:p w14:paraId="6C813FD5">
      <w:pPr>
        <w:widowControl/>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 xml:space="preserve">期货公司应设置专门岗位实时关注交易日发生送股、配股等权益类变动的合约标的，提前提请客户注意，并在除权除息日前一交易日收盘后，根据合约标的当日收盘价，及时提醒和通知客户注意补券及具体补券数量。 </w:t>
      </w:r>
    </w:p>
    <w:p w14:paraId="07735E81">
      <w:pPr>
        <w:spacing w:before="0" w:beforeLines="-2147483648" w:after="0" w:afterLines="-2147483648"/>
        <w:ind w:firstLine="560"/>
        <w:rPr>
          <w:rFonts w:ascii="Times New Roman" w:hAnsi="Times New Roman" w:eastAsia="黑体"/>
          <w:sz w:val="28"/>
          <w:szCs w:val="28"/>
        </w:rPr>
      </w:pPr>
      <w:bookmarkStart w:id="313" w:name="_Toc408665045"/>
      <w:bookmarkStart w:id="314" w:name="_Toc23946995"/>
      <w:bookmarkStart w:id="315" w:name="_Toc10719"/>
      <w:bookmarkStart w:id="316" w:name="_Toc5626"/>
      <w:bookmarkStart w:id="317" w:name="_Toc10805"/>
      <w:bookmarkStart w:id="318" w:name="_Toc16886"/>
      <w:r>
        <w:rPr>
          <w:rFonts w:hint="default" w:ascii="Times New Roman" w:hAnsi="Times New Roman" w:eastAsia="黑体"/>
          <w:sz w:val="28"/>
          <w:szCs w:val="28"/>
        </w:rPr>
        <w:t>三、持仓超限平仓</w:t>
      </w:r>
      <w:bookmarkEnd w:id="313"/>
      <w:bookmarkEnd w:id="314"/>
      <w:bookmarkEnd w:id="315"/>
      <w:bookmarkEnd w:id="316"/>
      <w:bookmarkEnd w:id="317"/>
      <w:bookmarkEnd w:id="318"/>
    </w:p>
    <w:p w14:paraId="3B927317">
      <w:pPr>
        <w:widowControl/>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（一）触发条件</w:t>
      </w:r>
    </w:p>
    <w:p w14:paraId="0EB7164E">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客户单个合约品种超过期货公司与客户约定的持仓限额，且未能在规定时间内自行平仓，期货公司可实施强行平仓。</w:t>
      </w:r>
    </w:p>
    <w:p w14:paraId="30535917">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由于</w:t>
      </w:r>
      <w:r>
        <w:rPr>
          <w:rFonts w:hint="eastAsia" w:ascii="仿宋_GB2312" w:eastAsia="仿宋_GB2312" w:cs="仿宋_GB2312"/>
          <w:sz w:val="28"/>
          <w:szCs w:val="28"/>
          <w:lang w:eastAsia="zh-CN"/>
        </w:rPr>
        <w:t>本所</w:t>
      </w:r>
      <w:r>
        <w:rPr>
          <w:rFonts w:hint="eastAsia" w:ascii="仿宋_GB2312" w:hAnsi="宋体" w:eastAsia="仿宋_GB2312" w:cs="仿宋_GB2312"/>
          <w:bCs/>
          <w:sz w:val="28"/>
          <w:szCs w:val="28"/>
        </w:rPr>
        <w:t>采取风险控制措施等原因降低市场主体持仓限额、期货公司根据经纪合同约定对客户的持仓限额作出调整或者因</w:t>
      </w:r>
      <w:r>
        <w:rPr>
          <w:rFonts w:hint="eastAsia" w:ascii="仿宋_GB2312" w:eastAsia="仿宋_GB2312" w:cs="仿宋_GB2312"/>
          <w:sz w:val="28"/>
          <w:szCs w:val="28"/>
        </w:rPr>
        <w:t>客户申请的持仓限额到期导致客户持仓超限，客户可以自行平仓，期货公司不应对客户自行平仓或对客户的超额持仓进行强行平仓，但对客户开仓将按新的持仓限额进行限制。</w:t>
      </w:r>
    </w:p>
    <w:p w14:paraId="581B3CFF">
      <w:pPr>
        <w:widowControl/>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（二）平仓原则</w:t>
      </w:r>
    </w:p>
    <w:p w14:paraId="2007F8BD">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对单个合约品种持仓超限的，待平仓合约选择范围为在该合约品种中，优先选取总持仓量大的合约作为待平仓合约。</w:t>
      </w:r>
    </w:p>
    <w:p w14:paraId="6B83B76A">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对同一合约义务仓进行强行平仓的，先对非备兑持仓进行强行平仓。</w:t>
      </w:r>
    </w:p>
    <w:p w14:paraId="6652CF60">
      <w:pPr>
        <w:widowControl/>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（三）平仓流程</w:t>
      </w:r>
    </w:p>
    <w:p w14:paraId="574DD96E">
      <w:pPr>
        <w:spacing w:beforeLines="50" w:afterLines="50"/>
        <w:ind w:firstLine="560" w:firstLineChars="200"/>
        <w:rPr>
          <w:rFonts w:ascii="仿宋_GB2312" w:eastAsia="仿宋_GB2312" w:cs="仿宋_GB2312"/>
          <w:b/>
          <w:sz w:val="28"/>
          <w:szCs w:val="28"/>
        </w:rPr>
      </w:pPr>
      <w:r>
        <w:rPr>
          <w:rFonts w:hint="eastAsia" w:ascii="仿宋_GB2312" w:eastAsia="仿宋_GB2312" w:cs="仿宋_GB2312"/>
          <w:sz w:val="28"/>
          <w:szCs w:val="28"/>
        </w:rPr>
        <w:t>对持仓超限需要进行强行平仓的，期货公司应以电话、邮件、短信、交易端提醒等形式向客户发送“强行平仓通知书”，并要求客户在规定时间前自行平仓，否则公司将于该时间实施强行平仓。</w:t>
      </w:r>
    </w:p>
    <w:p w14:paraId="253524AF">
      <w:pPr>
        <w:spacing w:before="0" w:beforeLines="-2147483648" w:after="0" w:afterLines="-2147483648"/>
        <w:ind w:firstLine="560"/>
        <w:rPr>
          <w:rFonts w:ascii="Times New Roman" w:hAnsi="Times New Roman" w:eastAsia="黑体"/>
          <w:sz w:val="28"/>
          <w:szCs w:val="28"/>
        </w:rPr>
      </w:pPr>
      <w:bookmarkStart w:id="319" w:name="_Toc24367"/>
      <w:bookmarkStart w:id="320" w:name="_Toc8500"/>
      <w:bookmarkStart w:id="321" w:name="_Toc408665046"/>
      <w:bookmarkStart w:id="322" w:name="_Toc20167"/>
      <w:bookmarkStart w:id="323" w:name="_Toc9432"/>
      <w:bookmarkStart w:id="324" w:name="_Toc23946996"/>
      <w:r>
        <w:rPr>
          <w:rFonts w:hint="default" w:ascii="Times New Roman" w:hAnsi="Times New Roman" w:eastAsia="黑体"/>
          <w:sz w:val="28"/>
          <w:szCs w:val="28"/>
        </w:rPr>
        <w:t>四、强平成交回报PBU管理</w:t>
      </w:r>
      <w:bookmarkEnd w:id="319"/>
      <w:bookmarkEnd w:id="320"/>
      <w:bookmarkEnd w:id="321"/>
      <w:bookmarkEnd w:id="322"/>
      <w:bookmarkEnd w:id="323"/>
      <w:bookmarkEnd w:id="324"/>
    </w:p>
    <w:p w14:paraId="5D6C683C">
      <w:pPr>
        <w:ind w:firstLine="560" w:firstLineChars="200"/>
        <w:rPr>
          <w:rFonts w:ascii="仿宋_GB2312" w:eastAsia="仿宋_GB2312" w:cs="仿宋_GB2312"/>
          <w:sz w:val="28"/>
          <w:szCs w:val="28"/>
        </w:rPr>
      </w:pPr>
      <w:r>
        <w:rPr>
          <w:rFonts w:hint="eastAsia" w:ascii="仿宋_GB2312" w:eastAsia="仿宋_GB2312" w:cs="仿宋_GB2312"/>
          <w:sz w:val="28"/>
          <w:szCs w:val="28"/>
        </w:rPr>
        <w:t>当期货公司向</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申请股票期权交易权限时，需同时向</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申报强行平仓成交回报指定PBU，用于实时接收由</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进行强行平仓的成交回报，该PBU也同时作为日终期货公司向</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报备相关数据指定的PBU。其中，期货公司应当分别就</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期权经纪业务和自营业务各申报一个强行平仓成交回报指定PBU。</w:t>
      </w:r>
    </w:p>
    <w:p w14:paraId="1A136B1C">
      <w:pPr>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期货公司可申请修改经纪业务或自营业务强行平仓成交回报指定PBU。申请修改PBU时，登陆</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会籍系统进行更新提交。</w:t>
      </w:r>
    </w:p>
    <w:p w14:paraId="0E1E0307">
      <w:pPr>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期货公司向</w:t>
      </w:r>
      <w:r>
        <w:rPr>
          <w:rFonts w:hint="eastAsia" w:ascii="仿宋_GB2312" w:eastAsia="仿宋_GB2312" w:cs="仿宋_GB2312"/>
          <w:sz w:val="28"/>
          <w:szCs w:val="28"/>
          <w:lang w:eastAsia="zh-CN"/>
        </w:rPr>
        <w:t>本所</w:t>
      </w:r>
      <w:r>
        <w:rPr>
          <w:rFonts w:hint="eastAsia" w:ascii="仿宋_GB2312" w:eastAsia="仿宋_GB2312" w:cs="仿宋_GB2312"/>
          <w:sz w:val="28"/>
          <w:szCs w:val="28"/>
        </w:rPr>
        <w:t>申请注销强行平仓成交回报指定PBU之前，应当先办理强行平仓成交回报指定PBU的变更业务。</w:t>
      </w:r>
    </w:p>
    <w:p w14:paraId="77998E86">
      <w:pPr>
        <w:spacing w:before="0" w:beforeLines="-2147483648" w:after="0" w:afterLines="-2147483648"/>
        <w:ind w:firstLine="560"/>
        <w:rPr>
          <w:rFonts w:ascii="Times New Roman" w:hAnsi="Times New Roman" w:eastAsia="黑体"/>
          <w:sz w:val="28"/>
          <w:szCs w:val="28"/>
        </w:rPr>
      </w:pPr>
      <w:bookmarkStart w:id="325" w:name="_Toc11124"/>
      <w:bookmarkStart w:id="326" w:name="_Toc406660285"/>
      <w:bookmarkStart w:id="327" w:name="_Toc30357"/>
      <w:bookmarkStart w:id="328" w:name="_Toc408665047"/>
      <w:bookmarkStart w:id="329" w:name="_Toc17889"/>
      <w:bookmarkStart w:id="330" w:name="_Toc23946997"/>
      <w:bookmarkStart w:id="331" w:name="_Toc7711"/>
      <w:r>
        <w:rPr>
          <w:rFonts w:hint="default" w:ascii="Times New Roman" w:hAnsi="Times New Roman" w:eastAsia="黑体"/>
          <w:sz w:val="28"/>
          <w:szCs w:val="28"/>
        </w:rPr>
        <w:t>五、强行平仓申报订单指令</w:t>
      </w:r>
      <w:bookmarkEnd w:id="325"/>
      <w:bookmarkEnd w:id="326"/>
      <w:bookmarkEnd w:id="327"/>
      <w:bookmarkEnd w:id="328"/>
      <w:bookmarkEnd w:id="329"/>
      <w:bookmarkEnd w:id="330"/>
      <w:bookmarkEnd w:id="331"/>
    </w:p>
    <w:p w14:paraId="4C4B58AE">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强行平仓申报订单指令应严格按照相关技术接口要求执行。经纪业务中由</w:t>
      </w:r>
      <w:r>
        <w:rPr>
          <w:rFonts w:hint="eastAsia" w:ascii="仿宋_GB2312" w:eastAsia="仿宋_GB2312" w:cs="仿宋_GB2312"/>
          <w:color w:val="000000"/>
          <w:sz w:val="28"/>
          <w:szCs w:val="28"/>
        </w:rPr>
        <w:t>期权经营机构</w:t>
      </w:r>
      <w:r>
        <w:rPr>
          <w:rFonts w:hint="eastAsia" w:ascii="仿宋_GB2312" w:eastAsia="仿宋_GB2312" w:cs="仿宋_GB2312"/>
          <w:sz w:val="28"/>
          <w:szCs w:val="28"/>
        </w:rPr>
        <w:t>发起的强行平仓，订单指令为“102=期权经营机构发起”，非期权经营机构发起的强行平仓，订单指令根据账户属性填写。</w:t>
      </w:r>
    </w:p>
    <w:p w14:paraId="32E33354">
      <w:pPr>
        <w:spacing w:before="0" w:beforeLines="-2147483648" w:after="0" w:afterLines="-2147483648"/>
        <w:ind w:firstLine="560"/>
        <w:rPr>
          <w:rFonts w:ascii="Times New Roman" w:hAnsi="Times New Roman" w:eastAsia="黑体"/>
          <w:sz w:val="28"/>
          <w:szCs w:val="28"/>
        </w:rPr>
      </w:pPr>
      <w:bookmarkStart w:id="332" w:name="_Toc4355"/>
      <w:bookmarkStart w:id="333" w:name="_Toc2539"/>
      <w:bookmarkStart w:id="334" w:name="_Toc408665048"/>
      <w:bookmarkStart w:id="335" w:name="_Toc31775"/>
      <w:bookmarkStart w:id="336" w:name="_Toc23946998"/>
      <w:bookmarkStart w:id="337" w:name="_Toc27437"/>
      <w:r>
        <w:rPr>
          <w:rFonts w:hint="default" w:ascii="Times New Roman" w:hAnsi="Times New Roman" w:eastAsia="黑体"/>
          <w:sz w:val="28"/>
          <w:szCs w:val="28"/>
        </w:rPr>
        <w:t>六、平仓有关的应急处理</w:t>
      </w:r>
      <w:bookmarkEnd w:id="332"/>
      <w:bookmarkEnd w:id="333"/>
      <w:bookmarkEnd w:id="334"/>
      <w:bookmarkEnd w:id="335"/>
      <w:bookmarkEnd w:id="336"/>
      <w:bookmarkEnd w:id="337"/>
    </w:p>
    <w:p w14:paraId="20F86D48">
      <w:pPr>
        <w:widowControl/>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（一）备用机制</w:t>
      </w:r>
    </w:p>
    <w:p w14:paraId="5AB8DA5E">
      <w:pPr>
        <w:spacing w:beforeLines="50" w:afterLines="50"/>
        <w:ind w:firstLine="560" w:firstLineChars="200"/>
        <w:rPr>
          <w:rFonts w:ascii="仿宋_GB2312" w:eastAsia="仿宋_GB2312" w:cs="仿宋_GB2312"/>
          <w:sz w:val="28"/>
          <w:szCs w:val="28"/>
        </w:rPr>
      </w:pPr>
      <w:r>
        <w:rPr>
          <w:rFonts w:hint="eastAsia" w:ascii="仿宋_GB2312" w:eastAsia="仿宋_GB2312" w:cs="仿宋_GB2312"/>
          <w:sz w:val="28"/>
          <w:szCs w:val="28"/>
        </w:rPr>
        <w:t>期货公司强行平仓操作应通过</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期权业务系统执行。当强行平仓系统出现故障时，期货公司应配置备用机制。</w:t>
      </w:r>
    </w:p>
    <w:p w14:paraId="6995BA5F">
      <w:pPr>
        <w:widowControl/>
        <w:spacing w:beforeLines="-2147483648" w:afterLines="-2147483648"/>
        <w:ind w:firstLine="560" w:firstLineChars="200"/>
        <w:rPr>
          <w:rFonts w:ascii="Times New Roman" w:hAnsi="Times New Roman" w:eastAsia="楷体_GB2312" w:cs="Times New Roman"/>
          <w:sz w:val="28"/>
          <w:szCs w:val="28"/>
        </w:rPr>
      </w:pPr>
      <w:r>
        <w:rPr>
          <w:rFonts w:hint="default" w:ascii="Times New Roman" w:hAnsi="Times New Roman" w:eastAsia="楷体_GB2312" w:cs="Times New Roman"/>
          <w:sz w:val="28"/>
          <w:szCs w:val="28"/>
        </w:rPr>
        <w:t>（二）期货公司应设置强行平仓错单处理流程</w:t>
      </w:r>
    </w:p>
    <w:p w14:paraId="7D5A5D4C">
      <w:pPr>
        <w:spacing w:beforeLines="50" w:afterLines="50"/>
        <w:ind w:firstLine="560" w:firstLineChars="200"/>
        <w:rPr>
          <w:rFonts w:ascii="仿宋_GB2312" w:eastAsia="仿宋_GB2312" w:cs="仿宋_GB2312"/>
          <w:kern w:val="0"/>
          <w:sz w:val="28"/>
          <w:szCs w:val="28"/>
          <w:lang w:val="zh-CN"/>
        </w:rPr>
      </w:pPr>
      <w:r>
        <w:rPr>
          <w:rFonts w:hint="eastAsia" w:ascii="仿宋_GB2312" w:eastAsia="仿宋_GB2312" w:cs="仿宋_GB2312"/>
          <w:sz w:val="28"/>
          <w:szCs w:val="28"/>
        </w:rPr>
        <w:t>强行平仓错单是指在实施强行平仓过程中，期货公司因误操作等原因，导致的错平、多平的平仓成交单。期货公司应与客户在</w:t>
      </w:r>
      <w:r>
        <w:rPr>
          <w:rFonts w:hint="eastAsia" w:ascii="仿宋_GB2312" w:eastAsia="仿宋_GB2312" w:cs="仿宋_GB2312"/>
          <w:sz w:val="28"/>
          <w:szCs w:val="28"/>
          <w:lang w:eastAsia="zh-CN"/>
        </w:rPr>
        <w:t>股票</w:t>
      </w:r>
      <w:r>
        <w:rPr>
          <w:rFonts w:hint="eastAsia" w:ascii="仿宋_GB2312" w:eastAsia="仿宋_GB2312" w:cs="仿宋_GB2312"/>
          <w:sz w:val="28"/>
          <w:szCs w:val="28"/>
        </w:rPr>
        <w:t>期权经纪合同中约定强行平仓错单的情形及补偿办法。</w:t>
      </w:r>
    </w:p>
    <w:p w14:paraId="4B7595E9">
      <w:pPr>
        <w:spacing w:beforeLines="50" w:afterLines="50" w:line="360" w:lineRule="auto"/>
        <w:jc w:val="center"/>
        <w:outlineLvl w:val="0"/>
        <w:rPr>
          <w:rFonts w:ascii="黑体" w:hAnsi="黑体" w:eastAsia="黑体"/>
          <w:b/>
          <w:bCs/>
          <w:sz w:val="32"/>
          <w:szCs w:val="32"/>
        </w:rPr>
      </w:pPr>
      <w:bookmarkStart w:id="338" w:name="_Toc408746750"/>
      <w:bookmarkStart w:id="339" w:name="_Toc15637"/>
      <w:bookmarkStart w:id="340" w:name="_Toc8064"/>
      <w:bookmarkStart w:id="341" w:name="_Toc19465"/>
    </w:p>
    <w:p w14:paraId="4F40B2B8">
      <w:pPr>
        <w:spacing w:beforeLines="50" w:afterLines="50" w:line="360" w:lineRule="auto"/>
        <w:jc w:val="both"/>
        <w:outlineLvl w:val="0"/>
        <w:rPr>
          <w:rFonts w:ascii="黑体" w:hAnsi="黑体" w:eastAsia="黑体"/>
          <w:b/>
          <w:bCs/>
          <w:sz w:val="32"/>
          <w:szCs w:val="32"/>
        </w:rPr>
      </w:pPr>
    </w:p>
    <w:p w14:paraId="1ED8DDB2">
      <w:pPr>
        <w:spacing w:beforeLines="50" w:afterLines="50" w:line="360" w:lineRule="auto"/>
        <w:jc w:val="both"/>
        <w:outlineLvl w:val="0"/>
        <w:rPr>
          <w:rFonts w:ascii="黑体" w:hAnsi="黑体" w:eastAsia="黑体"/>
          <w:b/>
          <w:bCs/>
          <w:sz w:val="32"/>
          <w:szCs w:val="32"/>
        </w:rPr>
      </w:pPr>
    </w:p>
    <w:p w14:paraId="3ED3F9B7">
      <w:pPr>
        <w:spacing w:beforeLines="50" w:afterLines="50" w:line="360" w:lineRule="auto"/>
        <w:jc w:val="both"/>
        <w:outlineLvl w:val="0"/>
        <w:rPr>
          <w:rFonts w:ascii="黑体" w:hAnsi="黑体" w:eastAsia="黑体"/>
          <w:b/>
          <w:bCs/>
          <w:sz w:val="32"/>
          <w:szCs w:val="32"/>
        </w:rPr>
      </w:pPr>
    </w:p>
    <w:p w14:paraId="7A482B42">
      <w:pPr>
        <w:spacing w:beforeLines="50" w:afterLines="50" w:line="360" w:lineRule="auto"/>
        <w:jc w:val="both"/>
        <w:outlineLvl w:val="0"/>
        <w:rPr>
          <w:rFonts w:ascii="黑体" w:hAnsi="黑体" w:eastAsia="黑体"/>
          <w:b/>
          <w:bCs/>
          <w:sz w:val="32"/>
          <w:szCs w:val="32"/>
        </w:rPr>
      </w:pPr>
    </w:p>
    <w:p w14:paraId="1AD6E01B">
      <w:pPr>
        <w:spacing w:beforeLines="50" w:afterLines="50" w:line="360" w:lineRule="auto"/>
        <w:jc w:val="both"/>
        <w:outlineLvl w:val="0"/>
        <w:rPr>
          <w:rFonts w:ascii="黑体" w:hAnsi="黑体" w:eastAsia="黑体"/>
          <w:b/>
          <w:bCs/>
          <w:sz w:val="32"/>
          <w:szCs w:val="32"/>
        </w:rPr>
      </w:pPr>
    </w:p>
    <w:p w14:paraId="39221E95">
      <w:pPr>
        <w:spacing w:beforeLines="50" w:afterLines="50" w:line="360" w:lineRule="auto"/>
        <w:jc w:val="both"/>
        <w:outlineLvl w:val="0"/>
        <w:rPr>
          <w:rFonts w:ascii="黑体" w:hAnsi="黑体" w:eastAsia="黑体"/>
          <w:b/>
          <w:bCs/>
          <w:sz w:val="32"/>
          <w:szCs w:val="32"/>
        </w:rPr>
      </w:pPr>
    </w:p>
    <w:p w14:paraId="005591D1">
      <w:pPr>
        <w:spacing w:beforeLines="50" w:afterLines="50" w:line="360" w:lineRule="auto"/>
        <w:jc w:val="both"/>
        <w:outlineLvl w:val="0"/>
        <w:rPr>
          <w:rFonts w:ascii="黑体" w:hAnsi="黑体" w:eastAsia="黑体"/>
          <w:b/>
          <w:bCs/>
          <w:sz w:val="32"/>
          <w:szCs w:val="32"/>
        </w:rPr>
      </w:pPr>
    </w:p>
    <w:p w14:paraId="09579F86">
      <w:pPr>
        <w:spacing w:beforeLines="50" w:afterLines="50" w:line="360" w:lineRule="auto"/>
        <w:jc w:val="both"/>
        <w:outlineLvl w:val="0"/>
        <w:rPr>
          <w:rFonts w:ascii="黑体" w:hAnsi="黑体" w:eastAsia="黑体"/>
          <w:b/>
          <w:bCs/>
          <w:sz w:val="32"/>
          <w:szCs w:val="32"/>
        </w:rPr>
      </w:pPr>
    </w:p>
    <w:p w14:paraId="17A8BBE2">
      <w:pPr>
        <w:spacing w:beforeLines="50" w:afterLines="50" w:line="360" w:lineRule="auto"/>
        <w:jc w:val="both"/>
        <w:outlineLvl w:val="0"/>
        <w:rPr>
          <w:rFonts w:ascii="黑体" w:hAnsi="黑体" w:eastAsia="黑体"/>
          <w:b/>
          <w:bCs/>
          <w:sz w:val="32"/>
          <w:szCs w:val="32"/>
        </w:rPr>
      </w:pPr>
    </w:p>
    <w:p w14:paraId="662E7FEF">
      <w:pPr>
        <w:spacing w:beforeLines="50" w:afterLines="50" w:line="360" w:lineRule="auto"/>
        <w:jc w:val="both"/>
        <w:outlineLvl w:val="0"/>
        <w:rPr>
          <w:rFonts w:ascii="黑体" w:hAnsi="黑体" w:eastAsia="黑体"/>
          <w:b/>
          <w:bCs/>
          <w:sz w:val="32"/>
          <w:szCs w:val="32"/>
        </w:rPr>
      </w:pPr>
    </w:p>
    <w:p w14:paraId="590E0AEE">
      <w:pPr>
        <w:spacing w:beforeLines="50" w:afterLines="50" w:line="360" w:lineRule="auto"/>
        <w:jc w:val="both"/>
        <w:outlineLvl w:val="0"/>
        <w:rPr>
          <w:rFonts w:ascii="黑体" w:hAnsi="黑体" w:eastAsia="黑体"/>
          <w:b/>
          <w:bCs/>
          <w:sz w:val="32"/>
          <w:szCs w:val="32"/>
        </w:rPr>
      </w:pPr>
    </w:p>
    <w:p w14:paraId="59D57500">
      <w:pPr>
        <w:spacing w:beforeLines="50" w:afterLines="50" w:line="360" w:lineRule="auto"/>
        <w:jc w:val="both"/>
        <w:outlineLvl w:val="0"/>
        <w:rPr>
          <w:rFonts w:ascii="黑体" w:hAnsi="黑体" w:eastAsia="黑体"/>
          <w:b/>
          <w:bCs/>
          <w:sz w:val="32"/>
          <w:szCs w:val="32"/>
        </w:rPr>
      </w:pPr>
    </w:p>
    <w:p w14:paraId="1A844DE2">
      <w:pPr>
        <w:spacing w:beforeLines="50" w:afterLines="50" w:line="360" w:lineRule="auto"/>
        <w:jc w:val="both"/>
        <w:outlineLvl w:val="0"/>
        <w:rPr>
          <w:rFonts w:ascii="黑体" w:hAnsi="黑体" w:eastAsia="黑体"/>
          <w:b/>
          <w:bCs/>
          <w:sz w:val="32"/>
          <w:szCs w:val="32"/>
        </w:rPr>
      </w:pPr>
    </w:p>
    <w:p w14:paraId="153BF2C3">
      <w:pPr>
        <w:spacing w:beforeLines="50" w:afterLines="50" w:line="360" w:lineRule="auto"/>
        <w:jc w:val="both"/>
        <w:outlineLvl w:val="0"/>
        <w:rPr>
          <w:rFonts w:ascii="黑体" w:hAnsi="黑体" w:eastAsia="黑体"/>
          <w:b/>
          <w:bCs/>
          <w:sz w:val="32"/>
          <w:szCs w:val="32"/>
        </w:rPr>
      </w:pPr>
    </w:p>
    <w:p w14:paraId="22EDBF99">
      <w:pPr>
        <w:pStyle w:val="5"/>
        <w:spacing w:beforeLines="50" w:afterLines="50"/>
        <w:ind w:firstLine="0" w:firstLineChars="0"/>
        <w:jc w:val="center"/>
        <w:rPr>
          <w:rFonts w:ascii="黑体" w:hAnsi="黑体" w:eastAsia="黑体"/>
          <w:sz w:val="32"/>
        </w:rPr>
      </w:pPr>
      <w:bookmarkStart w:id="342" w:name="_Toc23946999"/>
      <w:bookmarkStart w:id="343" w:name="_Toc32126"/>
      <w:r>
        <w:rPr>
          <w:rFonts w:hint="eastAsia" w:ascii="黑体" w:hAnsi="黑体" w:eastAsia="黑体"/>
          <w:sz w:val="32"/>
        </w:rPr>
        <w:t>第九章 行权交收管理</w:t>
      </w:r>
      <w:bookmarkEnd w:id="338"/>
      <w:bookmarkEnd w:id="339"/>
      <w:bookmarkEnd w:id="340"/>
      <w:bookmarkEnd w:id="341"/>
      <w:bookmarkEnd w:id="342"/>
      <w:bookmarkEnd w:id="343"/>
    </w:p>
    <w:p w14:paraId="7BFA8705">
      <w:pPr>
        <w:spacing w:beforeLines="50" w:afterLines="50" w:line="360" w:lineRule="auto"/>
        <w:ind w:firstLine="504" w:firstLineChars="180"/>
        <w:rPr>
          <w:rFonts w:ascii="仿宋_GB2312" w:hAnsi="Times New Roman" w:eastAsia="仿宋_GB2312"/>
          <w:sz w:val="28"/>
          <w:szCs w:val="28"/>
        </w:rPr>
      </w:pPr>
      <w:r>
        <w:rPr>
          <w:rFonts w:hint="eastAsia" w:ascii="仿宋_GB2312" w:hAnsi="Times New Roman" w:eastAsia="仿宋_GB2312"/>
          <w:sz w:val="28"/>
          <w:szCs w:val="28"/>
        </w:rPr>
        <w:t>期货公司在</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期权合约最后交易日前对临近到期合约、潜在违约风险值进行监控，并对相应客户进行预警；在</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期权合约行权交收日，对认购期权义务方、认沽期权义务方的交收风险值监控，并采取相应的处置措施。</w:t>
      </w:r>
    </w:p>
    <w:p w14:paraId="54F2B408">
      <w:pPr>
        <w:spacing w:before="0" w:beforeLines="-2147483648" w:after="0" w:afterLines="-2147483648"/>
        <w:ind w:firstLine="560"/>
        <w:rPr>
          <w:rFonts w:ascii="Times New Roman" w:hAnsi="Times New Roman" w:eastAsia="黑体"/>
          <w:sz w:val="28"/>
          <w:szCs w:val="28"/>
        </w:rPr>
      </w:pPr>
      <w:bookmarkStart w:id="344" w:name="_Toc23947000"/>
      <w:bookmarkStart w:id="345" w:name="_Toc408746751"/>
      <w:bookmarkStart w:id="346" w:name="_Toc24781"/>
      <w:bookmarkStart w:id="347" w:name="_Toc1948"/>
      <w:bookmarkStart w:id="348" w:name="_Toc22285"/>
      <w:bookmarkStart w:id="349" w:name="_Toc9178"/>
      <w:r>
        <w:rPr>
          <w:rFonts w:hint="default" w:ascii="Times New Roman" w:hAnsi="Times New Roman" w:eastAsia="黑体"/>
          <w:sz w:val="28"/>
          <w:szCs w:val="28"/>
        </w:rPr>
        <w:t>一、投资者持仓合约的行权提醒</w:t>
      </w:r>
      <w:bookmarkEnd w:id="344"/>
      <w:bookmarkEnd w:id="345"/>
      <w:bookmarkEnd w:id="346"/>
      <w:bookmarkEnd w:id="347"/>
      <w:bookmarkEnd w:id="348"/>
      <w:bookmarkEnd w:id="349"/>
    </w:p>
    <w:p w14:paraId="177391CC">
      <w:pPr>
        <w:spacing w:beforeLines="50" w:afterLines="50" w:line="360" w:lineRule="auto"/>
        <w:ind w:firstLine="504" w:firstLineChars="180"/>
        <w:rPr>
          <w:rFonts w:ascii="仿宋_GB2312" w:hAnsi="Times New Roman" w:eastAsia="仿宋_GB2312"/>
          <w:sz w:val="28"/>
          <w:szCs w:val="28"/>
        </w:rPr>
      </w:pPr>
      <w:r>
        <w:rPr>
          <w:rFonts w:hint="eastAsia" w:ascii="仿宋_GB2312" w:hAnsi="Times New Roman" w:eastAsia="仿宋_GB2312"/>
          <w:sz w:val="28"/>
          <w:szCs w:val="28"/>
          <w:lang w:val="en-US" w:eastAsia="zh-CN"/>
        </w:rPr>
        <w:t>1.</w:t>
      </w:r>
      <w:r>
        <w:rPr>
          <w:rFonts w:hint="eastAsia" w:ascii="仿宋_GB2312" w:hAnsi="Times New Roman" w:eastAsia="仿宋_GB2312"/>
          <w:sz w:val="28"/>
          <w:szCs w:val="28"/>
        </w:rPr>
        <w:t>期货公司应在</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期权合约临近到期日前3个交易日至到期日，每日进行交易客户端和以下任意一种方式（短信或邮件）提醒。</w:t>
      </w:r>
    </w:p>
    <w:p w14:paraId="223E6881">
      <w:pPr>
        <w:spacing w:beforeLines="50" w:afterLines="50" w:line="360" w:lineRule="auto"/>
        <w:ind w:firstLine="504" w:firstLineChars="180"/>
        <w:rPr>
          <w:rFonts w:ascii="仿宋_GB2312" w:hAnsi="Times New Roman" w:eastAsia="仿宋_GB2312"/>
          <w:sz w:val="28"/>
          <w:szCs w:val="28"/>
        </w:rPr>
      </w:pPr>
      <w:r>
        <w:rPr>
          <w:rFonts w:hint="eastAsia" w:ascii="仿宋_GB2312" w:hAnsi="Times New Roman" w:eastAsia="仿宋_GB2312"/>
          <w:sz w:val="28"/>
          <w:szCs w:val="28"/>
          <w:lang w:val="en-US" w:eastAsia="zh-CN"/>
        </w:rPr>
        <w:t>2.</w:t>
      </w:r>
      <w:r>
        <w:rPr>
          <w:rFonts w:hint="eastAsia" w:ascii="仿宋_GB2312" w:hAnsi="Times New Roman" w:eastAsia="仿宋_GB2312"/>
          <w:sz w:val="28"/>
          <w:szCs w:val="28"/>
        </w:rPr>
        <w:t>期货公司可在</w:t>
      </w:r>
      <w:r>
        <w:rPr>
          <w:rFonts w:hint="eastAsia" w:ascii="仿宋_GB2312" w:hAnsi="Times New Roman" w:eastAsia="仿宋_GB2312"/>
          <w:sz w:val="28"/>
          <w:szCs w:val="28"/>
          <w:lang w:eastAsia="zh-CN"/>
        </w:rPr>
        <w:t>股票</w:t>
      </w:r>
      <w:r>
        <w:rPr>
          <w:rFonts w:hint="eastAsia" w:ascii="仿宋_GB2312" w:hAnsi="Times New Roman" w:eastAsia="仿宋_GB2312"/>
          <w:sz w:val="28"/>
          <w:szCs w:val="28"/>
        </w:rPr>
        <w:t>期权合约临近到期日前5个交易日至到期日，每日对下列投资者进行提醒：（1）持有虚值期权合约的权利方；（2）持有实值期权合约的义务方。</w:t>
      </w:r>
    </w:p>
    <w:p w14:paraId="5A5C3103">
      <w:pPr>
        <w:spacing w:before="0" w:beforeLines="-2147483648" w:after="0" w:afterLines="-2147483648"/>
        <w:ind w:firstLine="560"/>
        <w:rPr>
          <w:rFonts w:ascii="Times New Roman" w:hAnsi="Times New Roman" w:eastAsia="黑体"/>
          <w:sz w:val="28"/>
          <w:szCs w:val="28"/>
        </w:rPr>
      </w:pPr>
      <w:bookmarkStart w:id="350" w:name="_Toc24909"/>
      <w:bookmarkStart w:id="351" w:name="_Toc25829"/>
      <w:bookmarkStart w:id="352" w:name="_Toc20493"/>
      <w:bookmarkStart w:id="353" w:name="_Toc17446"/>
      <w:bookmarkStart w:id="354" w:name="_Toc23947001"/>
      <w:bookmarkStart w:id="355" w:name="_Toc408746752"/>
      <w:r>
        <w:rPr>
          <w:rFonts w:hint="default" w:ascii="Times New Roman" w:hAnsi="Times New Roman" w:eastAsia="黑体"/>
          <w:sz w:val="28"/>
          <w:szCs w:val="28"/>
        </w:rPr>
        <w:t>二、投资者行权及交收日风险管理</w:t>
      </w:r>
      <w:bookmarkEnd w:id="350"/>
      <w:bookmarkEnd w:id="351"/>
      <w:bookmarkEnd w:id="352"/>
      <w:bookmarkEnd w:id="353"/>
      <w:bookmarkEnd w:id="354"/>
      <w:bookmarkEnd w:id="355"/>
    </w:p>
    <w:p w14:paraId="1176CDB1">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行权日15:00-15:30，投资者可行权数量应为未平仓权利仓数量（包括已申报未成交数量）。</w:t>
      </w:r>
    </w:p>
    <w:p w14:paraId="1BB7A104">
      <w:pPr>
        <w:spacing w:beforeLines="50" w:afterLines="50"/>
        <w:ind w:firstLine="504" w:firstLineChars="180"/>
        <w:rPr>
          <w:rFonts w:ascii="仿宋_GB2312" w:eastAsia="仿宋_GB2312" w:cs="仿宋_GB2312"/>
          <w:sz w:val="28"/>
          <w:szCs w:val="28"/>
        </w:rPr>
      </w:pPr>
      <w:r>
        <w:rPr>
          <w:rFonts w:hint="eastAsia" w:ascii="仿宋_GB2312" w:eastAsia="仿宋_GB2312" w:cs="仿宋_GB2312"/>
          <w:sz w:val="28"/>
          <w:szCs w:val="28"/>
        </w:rPr>
        <w:t>期货公司应完善相应的技术系统，确保行权日当天申报未成交的数量在15:00-15:30可行权。</w:t>
      </w:r>
    </w:p>
    <w:p w14:paraId="47DCFF6A">
      <w:pPr>
        <w:spacing w:beforeLines="50" w:afterLines="50"/>
        <w:ind w:firstLine="504" w:firstLineChars="180"/>
        <w:rPr>
          <w:rFonts w:ascii="仿宋_GB2312" w:eastAsia="仿宋_GB2312"/>
          <w:b/>
          <w:sz w:val="28"/>
          <w:szCs w:val="28"/>
        </w:rPr>
      </w:pPr>
      <w:r>
        <w:rPr>
          <w:rFonts w:hint="eastAsia" w:ascii="仿宋_GB2312" w:eastAsia="仿宋_GB2312" w:cs="仿宋_GB2312"/>
          <w:sz w:val="28"/>
          <w:szCs w:val="28"/>
          <w:lang w:val="en-US" w:eastAsia="zh-CN"/>
        </w:rPr>
        <w:t>2.</w:t>
      </w:r>
      <w:r>
        <w:rPr>
          <w:rFonts w:hint="eastAsia" w:ascii="仿宋_GB2312" w:eastAsia="仿宋_GB2312" w:cs="仿宋_GB2312"/>
          <w:sz w:val="28"/>
          <w:szCs w:val="28"/>
        </w:rPr>
        <w:t>行权日同时提出认购期权行权和认沽期权行权的投资者，若行权同时有效，行权指派后中国结算按照轧差计算该投资者需要交付的资金和标的证券。</w:t>
      </w:r>
    </w:p>
    <w:p w14:paraId="250D0026">
      <w:pPr>
        <w:spacing w:beforeLines="50" w:afterLines="50" w:line="360" w:lineRule="auto"/>
        <w:ind w:firstLine="504" w:firstLineChars="180"/>
        <w:rPr>
          <w:rFonts w:ascii="仿宋_GB2312" w:hAnsi="Times New Roman" w:eastAsia="仿宋_GB2312"/>
          <w:sz w:val="28"/>
          <w:szCs w:val="28"/>
        </w:rPr>
      </w:pPr>
      <w:r>
        <w:rPr>
          <w:rFonts w:hint="eastAsia" w:ascii="仿宋_GB2312" w:hAnsi="Times New Roman" w:eastAsia="仿宋_GB2312"/>
          <w:sz w:val="28"/>
          <w:szCs w:val="28"/>
          <w:lang w:val="en-US" w:eastAsia="zh-CN"/>
        </w:rPr>
        <w:t>3.</w:t>
      </w:r>
      <w:r>
        <w:rPr>
          <w:rFonts w:hint="eastAsia" w:ascii="仿宋_GB2312" w:hAnsi="Times New Roman" w:eastAsia="仿宋_GB2312"/>
          <w:sz w:val="28"/>
          <w:szCs w:val="28"/>
        </w:rPr>
        <w:t>在行权日，如果投资者对持有的虚值期权（以合约标的实时价格计算）提交行权指令，期货公司应在客户交易终端的下单界面提醒投资者，合约为虚值的行权风险。</w:t>
      </w:r>
    </w:p>
    <w:p w14:paraId="462E0786">
      <w:pPr>
        <w:spacing w:beforeLines="50" w:afterLines="50" w:line="360" w:lineRule="auto"/>
        <w:ind w:firstLine="504" w:firstLineChars="180"/>
        <w:rPr>
          <w:rFonts w:ascii="仿宋_GB2312" w:hAnsi="Times New Roman" w:eastAsia="仿宋_GB2312"/>
          <w:sz w:val="28"/>
          <w:szCs w:val="28"/>
        </w:rPr>
      </w:pPr>
      <w:r>
        <w:rPr>
          <w:rFonts w:hint="eastAsia" w:ascii="仿宋_GB2312" w:hAnsi="Times New Roman" w:eastAsia="仿宋_GB2312"/>
          <w:sz w:val="28"/>
          <w:szCs w:val="28"/>
          <w:lang w:val="en-US" w:eastAsia="zh-CN"/>
        </w:rPr>
        <w:t>4.</w:t>
      </w:r>
      <w:r>
        <w:rPr>
          <w:rFonts w:hint="eastAsia" w:ascii="仿宋_GB2312" w:hAnsi="Times New Roman" w:eastAsia="仿宋_GB2312"/>
          <w:sz w:val="28"/>
          <w:szCs w:val="28"/>
        </w:rPr>
        <w:t>期货公司可向投资者提供“协议行权”服务。详见第十章关于协议行权的内容。</w:t>
      </w:r>
    </w:p>
    <w:p w14:paraId="302DC951">
      <w:pPr>
        <w:spacing w:beforeLines="50" w:afterLines="50" w:line="360" w:lineRule="auto"/>
        <w:ind w:firstLine="504" w:firstLineChars="18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en-US" w:eastAsia="zh-CN"/>
        </w:rPr>
        <w:t>5.合</w:t>
      </w:r>
      <w:r>
        <w:rPr>
          <w:rFonts w:hint="eastAsia" w:ascii="仿宋_GB2312" w:hAnsi="Times New Roman" w:eastAsia="仿宋_GB2312"/>
          <w:kern w:val="0"/>
          <w:sz w:val="28"/>
          <w:szCs w:val="28"/>
          <w:lang w:val="zh-CN"/>
        </w:rPr>
        <w:t>约行权交收日，期货公司应监控行权交收应交券方的“行权交收应交券方违约风险1”和“行权交收应交券方违约风险2”，即监控投资者持有合约标的的情况，对投资者所持有的合约标的不能满足行权交收应交付数量的投资者，进行电话提醒并督促其补足应交合约标的证券数量。</w:t>
      </w:r>
    </w:p>
    <w:p w14:paraId="6A22DEF7">
      <w:pPr>
        <w:widowControl/>
        <w:spacing w:beforeLines="50" w:afterLines="50" w:line="360" w:lineRule="auto"/>
        <w:ind w:firstLine="560" w:firstLineChars="20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行权交收应交券方违约风险1=应交数量/账户所持相关流通证券的数量（含备兑持仓）</w:t>
      </w:r>
    </w:p>
    <w:p w14:paraId="5F7FBC10">
      <w:pPr>
        <w:widowControl/>
        <w:spacing w:beforeLines="50" w:afterLines="50" w:line="360" w:lineRule="auto"/>
        <w:ind w:firstLine="560" w:firstLineChars="20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行权交收应交券方违约风险2=应交数量/账户所持相关流通证券的数量（不含备兑持仓）</w:t>
      </w:r>
    </w:p>
    <w:p w14:paraId="44C9C8D8">
      <w:pPr>
        <w:spacing w:beforeLines="50" w:afterLines="50" w:line="360" w:lineRule="auto"/>
        <w:ind w:firstLine="504" w:firstLineChars="18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en-US" w:eastAsia="zh-CN"/>
        </w:rPr>
        <w:t>6.</w:t>
      </w:r>
      <w:r>
        <w:rPr>
          <w:rFonts w:hint="eastAsia" w:ascii="仿宋_GB2312" w:hAnsi="Times New Roman" w:eastAsia="仿宋_GB2312"/>
          <w:kern w:val="0"/>
          <w:sz w:val="28"/>
          <w:szCs w:val="28"/>
          <w:lang w:val="zh-CN"/>
        </w:rPr>
        <w:t>合约交收日约定时间内，对合约标的证券应付方，若准备交收的合约标的证券仍不足，期货公司可根据与客户在股票期权经纪合同中的约定，为客户买入合约标的或使用自有证券代为提供不足部分的合约标的。</w:t>
      </w:r>
    </w:p>
    <w:p w14:paraId="680F8C51">
      <w:pPr>
        <w:spacing w:beforeLines="50" w:afterLines="50" w:line="360" w:lineRule="auto"/>
        <w:ind w:firstLine="504" w:firstLineChars="18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en-US" w:eastAsia="zh-CN"/>
        </w:rPr>
        <w:t>7.</w:t>
      </w:r>
      <w:r>
        <w:rPr>
          <w:rFonts w:hint="eastAsia" w:ascii="仿宋_GB2312" w:hAnsi="Times New Roman" w:eastAsia="仿宋_GB2312"/>
          <w:kern w:val="0"/>
          <w:sz w:val="28"/>
          <w:szCs w:val="28"/>
          <w:lang w:val="zh-CN"/>
        </w:rPr>
        <w:t>合约行权交收日，对行权交收资金应付方，期货公司应监控账户“行权交收资金应付方违约风险值”，即股票期权保证金账户中资金能否满足行权交收所需的现金。</w:t>
      </w:r>
    </w:p>
    <w:p w14:paraId="33E543A8">
      <w:pPr>
        <w:widowControl/>
        <w:spacing w:beforeLines="50" w:afterLines="50" w:line="360" w:lineRule="auto"/>
        <w:ind w:firstLine="560" w:firstLineChars="20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行权交收资金应付方违约风险=应付所需资金/（可用资金+行权日行权交收已冻结的资金）</w:t>
      </w:r>
    </w:p>
    <w:p w14:paraId="207FE783">
      <w:pPr>
        <w:widowControl/>
        <w:spacing w:beforeLines="50" w:afterLines="50" w:line="360" w:lineRule="auto"/>
        <w:ind w:firstLine="560" w:firstLineChars="20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期货公司对“行权交收资金应付方违约风险”设定预警值，比如85%，如果超过</w:t>
      </w:r>
      <w:r>
        <w:rPr>
          <w:rFonts w:ascii="Times New Roman" w:hAnsi="Times New Roman" w:eastAsia="仿宋_GB2312"/>
          <w:sz w:val="28"/>
          <w:szCs w:val="28"/>
        </w:rPr>
        <w:t>阈值</w:t>
      </w:r>
      <w:r>
        <w:rPr>
          <w:rFonts w:hint="eastAsia" w:ascii="仿宋_GB2312" w:hAnsi="Times New Roman" w:eastAsia="仿宋_GB2312"/>
          <w:kern w:val="0"/>
          <w:sz w:val="28"/>
          <w:szCs w:val="28"/>
          <w:lang w:val="zh-CN"/>
        </w:rPr>
        <w:t>，期货公司将对客户预警，而如果大于100%，则表明该账户存在很高的违约交收风险，期货公司需采取措施，通知客户入金。</w:t>
      </w:r>
    </w:p>
    <w:p w14:paraId="3A0E9CD2">
      <w:pPr>
        <w:spacing w:beforeLines="50" w:afterLines="50" w:line="360" w:lineRule="auto"/>
        <w:ind w:firstLine="504" w:firstLineChars="18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en-US" w:eastAsia="zh-CN"/>
        </w:rPr>
        <w:t>8.</w:t>
      </w:r>
      <w:r>
        <w:rPr>
          <w:rFonts w:hint="eastAsia" w:ascii="仿宋_GB2312" w:hAnsi="Times New Roman" w:eastAsia="仿宋_GB2312"/>
          <w:kern w:val="0"/>
          <w:sz w:val="28"/>
          <w:szCs w:val="28"/>
          <w:lang w:val="zh-CN"/>
        </w:rPr>
        <w:t>客户认沽期权义务方被指派行权后资金不足或客户认购期权权利方行权资金不足的，期货公司可以自有资金先行垫付，并向本所申报将相关行权所得证券划入处置证券账户。</w:t>
      </w:r>
    </w:p>
    <w:p w14:paraId="4AC4B0D2">
      <w:pPr>
        <w:spacing w:beforeLines="50" w:afterLines="50" w:line="360" w:lineRule="auto"/>
        <w:ind w:firstLine="504" w:firstLineChars="18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日终中国结算将对行权、证券转处置/转回指令申报进行校验，期货公司应确保申报交易单元清算编号与相应账户指定交易单元清算编号一致。</w:t>
      </w:r>
    </w:p>
    <w:p w14:paraId="7B9A80CD">
      <w:pPr>
        <w:spacing w:before="0" w:beforeLines="-2147483648" w:after="0" w:afterLines="-2147483648"/>
        <w:ind w:firstLine="560"/>
        <w:rPr>
          <w:rFonts w:ascii="Times New Roman" w:hAnsi="Times New Roman" w:eastAsia="黑体"/>
          <w:sz w:val="28"/>
          <w:szCs w:val="28"/>
        </w:rPr>
      </w:pPr>
      <w:bookmarkStart w:id="356" w:name="_Toc20875"/>
      <w:bookmarkStart w:id="357" w:name="_Toc23947002"/>
      <w:bookmarkStart w:id="358" w:name="_Toc12935"/>
      <w:bookmarkStart w:id="359" w:name="_Toc19870"/>
      <w:bookmarkStart w:id="360" w:name="_Toc408746753"/>
      <w:bookmarkStart w:id="361" w:name="_Toc7069"/>
      <w:r>
        <w:rPr>
          <w:rFonts w:hint="default" w:ascii="Times New Roman" w:hAnsi="Times New Roman" w:eastAsia="黑体"/>
          <w:sz w:val="28"/>
          <w:szCs w:val="28"/>
        </w:rPr>
        <w:t>三、行权日前调整保证金参数水平提醒</w:t>
      </w:r>
      <w:bookmarkEnd w:id="356"/>
      <w:bookmarkEnd w:id="357"/>
      <w:bookmarkEnd w:id="358"/>
      <w:bookmarkEnd w:id="359"/>
      <w:bookmarkEnd w:id="360"/>
      <w:bookmarkEnd w:id="361"/>
    </w:p>
    <w:p w14:paraId="69876B61">
      <w:pPr>
        <w:spacing w:beforeLines="50" w:afterLines="50" w:line="360" w:lineRule="auto"/>
        <w:ind w:firstLine="504" w:firstLineChars="18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若期货公司按照本指南进行保证金水平参数设置，期货公司应在与投资者签署的股票期权经纪合同中，明确约定可能导致保证金参数水平调整的情形。若在临近行权日进行了参数调整，调整后，应当及时通过邮件、短信、交易客户端等渠道做好通知提醒工作。</w:t>
      </w:r>
    </w:p>
    <w:p w14:paraId="79635BBD">
      <w:pPr>
        <w:spacing w:before="0" w:beforeLines="-2147483648" w:after="0" w:afterLines="-2147483648"/>
        <w:ind w:firstLine="560"/>
        <w:rPr>
          <w:rFonts w:ascii="Times New Roman" w:hAnsi="Times New Roman" w:eastAsia="黑体"/>
          <w:sz w:val="28"/>
          <w:szCs w:val="28"/>
        </w:rPr>
      </w:pPr>
      <w:bookmarkStart w:id="362" w:name="_Toc23947003"/>
      <w:r>
        <w:rPr>
          <w:rFonts w:hint="default" w:ascii="Times New Roman" w:hAnsi="Times New Roman" w:eastAsia="黑体"/>
          <w:sz w:val="28"/>
          <w:szCs w:val="28"/>
        </w:rPr>
        <w:t>四、行权指令合并申报</w:t>
      </w:r>
      <w:bookmarkEnd w:id="362"/>
    </w:p>
    <w:p w14:paraId="3E2C47C1">
      <w:pPr>
        <w:ind w:firstLine="560" w:firstLineChars="200"/>
        <w:rPr>
          <w:rFonts w:hint="eastAsia" w:ascii="仿宋_GB2312" w:eastAsia="仿宋_GB2312"/>
          <w:sz w:val="28"/>
          <w:szCs w:val="28"/>
        </w:rPr>
      </w:pPr>
      <w:r>
        <w:rPr>
          <w:rFonts w:hint="eastAsia" w:ascii="仿宋_GB2312" w:eastAsia="仿宋_GB2312"/>
          <w:sz w:val="28"/>
          <w:szCs w:val="28"/>
        </w:rPr>
        <w:t>行权日，期货公司可以为同时持有相同标的证券当日到期的认购和认沽期权权利仓的客户提供行权指令合并申报功能，使客户实现到期认购和认沽期权的同步行权。具体安排如下：</w:t>
      </w:r>
    </w:p>
    <w:p w14:paraId="7FE23CCB">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lang w:val="en-US" w:eastAsia="zh-CN"/>
        </w:rPr>
        <w:t>1.</w:t>
      </w:r>
      <w:r>
        <w:rPr>
          <w:rFonts w:hint="eastAsia" w:ascii="仿宋_GB2312" w:hAnsi="Times New Roman" w:eastAsia="仿宋_GB2312"/>
          <w:sz w:val="28"/>
          <w:szCs w:val="28"/>
        </w:rPr>
        <w:t>行权日</w:t>
      </w:r>
      <w:r>
        <w:rPr>
          <w:rFonts w:hint="default" w:ascii="Times New Roman" w:hAnsi="Times New Roman" w:eastAsia="仿宋_GB2312"/>
          <w:sz w:val="28"/>
          <w:szCs w:val="28"/>
        </w:rPr>
        <w:t>9:15至9:25、9:30至11:30、13:00至15:30，</w:t>
      </w:r>
      <w:r>
        <w:rPr>
          <w:rFonts w:hint="eastAsia" w:ascii="仿宋_GB2312" w:hAnsi="Times New Roman" w:eastAsia="仿宋_GB2312"/>
          <w:sz w:val="28"/>
          <w:szCs w:val="28"/>
        </w:rPr>
        <w:t>客户可向期货公司提出行权指令合并申报委托，每一单位数量的行权指令合并申报包括同一标的的当日到期认购和认沽期权权利仓各一张，认购和认沽期权的合约单位必须相同，认沽期权行权价需高于认购期权。</w:t>
      </w:r>
    </w:p>
    <w:p w14:paraId="7819B23D">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客户可多次提交行权指令合并申报，累计申报的行权数量不应超过其持有的权利仓净头寸（即相应衍生品合约账户同一合约到期组合策略解除后，权利仓和义务仓对冲后的持仓）。若某次申报数量超过当前净头寸，则该笔申报中仅持有的权利仓净头寸部分有效。例如，行权日某客户持有的净头寸为15张认购期权权利仓和15张认沽期权权利仓，该客户第一次提出一笔10张认购期权和10张认沽期权的行权指令合并申报，则申报有效；之后第二次再提出一笔10张认购期权和10张认沽期权的行权指令合并申报，因为当前的累计申报数量超过其持有的权利仓净头寸，则该笔行权指令合并申报中仅5张认购期权和5张认沽期权的行权指令合并申报有效。</w:t>
      </w:r>
    </w:p>
    <w:p w14:paraId="0896803B">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行权指令合并申</w:t>
      </w:r>
      <w:r>
        <w:rPr>
          <w:rFonts w:hint="default" w:ascii="Times New Roman" w:hAnsi="Times New Roman" w:eastAsia="仿宋_GB2312"/>
          <w:sz w:val="28"/>
          <w:szCs w:val="28"/>
        </w:rPr>
        <w:t>报可以撤销，撤销申报时间为行权日9:15至9:25、9:30至11:30、13:00至15:30。</w:t>
      </w:r>
    </w:p>
    <w:p w14:paraId="05A21721">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lang w:val="en-US" w:eastAsia="zh-CN"/>
        </w:rPr>
        <w:t>2.</w:t>
      </w:r>
      <w:r>
        <w:rPr>
          <w:rFonts w:hint="eastAsia" w:ascii="仿宋_GB2312" w:hAnsi="Times New Roman" w:eastAsia="仿宋_GB2312"/>
          <w:sz w:val="28"/>
          <w:szCs w:val="28"/>
        </w:rPr>
        <w:t>期货公司根据客户的行权申报（包括行权指令合并申报和非行权指令合并申报），进行前端控制包括但不限于以下内容：</w:t>
      </w:r>
    </w:p>
    <w:p w14:paraId="2557F145">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（1）行权指令合并申报为同一标的证券、合约单位相等、合约为认购与认沽期权、合约在当日到期、认沽期权行权价高于认购期权。</w:t>
      </w:r>
    </w:p>
    <w:p w14:paraId="2DE232E9">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2）对行权指令合并申报和非行权指令合并申报进行前端控制，检验认购期权和认沽期权累计行权指令合并申报数量（扣减撤单后）不得超过客户持有的相应认购期权合约权利仓净头寸及认沽期权合约权利仓净头寸的较小值，认购和认沽行权累计数量（扣减撤单后）不得超过客户持有的相应合约权利仓净头寸。净头寸以当日到期组合策略解除后的净头寸为准。</w:t>
      </w:r>
    </w:p>
    <w:p w14:paraId="41979FDF">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lang w:val="en-US" w:eastAsia="zh-CN"/>
        </w:rPr>
        <w:t>3.</w:t>
      </w:r>
      <w:r>
        <w:rPr>
          <w:rFonts w:hint="eastAsia" w:ascii="仿宋_GB2312" w:hAnsi="Times New Roman" w:eastAsia="仿宋_GB2312"/>
          <w:sz w:val="28"/>
          <w:szCs w:val="28"/>
        </w:rPr>
        <w:t>行权日9:15至9:25、9:30至11:30、13:00至15:30，期货公司向</w:t>
      </w:r>
      <w:r>
        <w:rPr>
          <w:rFonts w:hint="eastAsia" w:ascii="仿宋_GB2312" w:hAnsi="Times New Roman" w:eastAsia="仿宋_GB2312"/>
          <w:sz w:val="28"/>
          <w:szCs w:val="28"/>
          <w:lang w:val="en-US" w:eastAsia="zh-CN"/>
        </w:rPr>
        <w:t>本所</w:t>
      </w:r>
      <w:r>
        <w:rPr>
          <w:rFonts w:hint="eastAsia" w:ascii="仿宋_GB2312" w:hAnsi="Times New Roman" w:eastAsia="仿宋_GB2312"/>
          <w:sz w:val="28"/>
          <w:szCs w:val="28"/>
        </w:rPr>
        <w:t>提交行权指令合并申报指令。</w:t>
      </w:r>
    </w:p>
    <w:p w14:paraId="128C2D8A">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lang w:val="en-US" w:eastAsia="zh-CN"/>
        </w:rPr>
        <w:t>4.</w:t>
      </w:r>
      <w:r>
        <w:rPr>
          <w:rFonts w:hint="eastAsia" w:ascii="仿宋_GB2312" w:hAnsi="Times New Roman" w:eastAsia="仿宋_GB2312"/>
          <w:sz w:val="28"/>
          <w:szCs w:val="28"/>
          <w:lang w:eastAsia="zh-CN"/>
        </w:rPr>
        <w:t>本所</w:t>
      </w:r>
      <w:r>
        <w:rPr>
          <w:rFonts w:hint="eastAsia" w:ascii="仿宋_GB2312" w:hAnsi="Times New Roman" w:eastAsia="仿宋_GB2312"/>
          <w:sz w:val="28"/>
          <w:szCs w:val="28"/>
        </w:rPr>
        <w:t>对期货公司提交的行权指令合并申报进行前端检查，主要检查以下内容：</w:t>
      </w:r>
    </w:p>
    <w:p w14:paraId="5C65A196">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（1）相关合约标的是否相同；</w:t>
      </w:r>
    </w:p>
    <w:p w14:paraId="75CE251D">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（2）合约单位是否相等；</w:t>
      </w:r>
    </w:p>
    <w:p w14:paraId="360FA3C0">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（3）一个单位数量的行权指令合并申报是否为认购合约和认沽期权合约各一张；</w:t>
      </w:r>
    </w:p>
    <w:p w14:paraId="00A648EB">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（4）是否均为当日到期合约；</w:t>
      </w:r>
    </w:p>
    <w:p w14:paraId="2F96180F">
      <w:pPr>
        <w:ind w:firstLine="560" w:firstLineChars="200"/>
        <w:rPr>
          <w:rFonts w:hint="eastAsia" w:ascii="仿宋_GB2312" w:hAnsi="Times New Roman" w:eastAsia="仿宋_GB2312"/>
          <w:sz w:val="28"/>
          <w:szCs w:val="28"/>
        </w:rPr>
      </w:pPr>
      <w:r>
        <w:rPr>
          <w:rFonts w:hint="eastAsia" w:ascii="仿宋_GB2312" w:hAnsi="Times New Roman" w:eastAsia="仿宋_GB2312"/>
          <w:sz w:val="28"/>
          <w:szCs w:val="28"/>
        </w:rPr>
        <w:t>（5）认沽期权行权价是否高于认购期权；</w:t>
      </w:r>
    </w:p>
    <w:p w14:paraId="46D86A9E">
      <w:pPr>
        <w:spacing w:beforeLines="50" w:afterLines="50"/>
        <w:ind w:firstLine="504" w:firstLineChars="180"/>
        <w:rPr>
          <w:rFonts w:hint="eastAsia" w:ascii="仿宋_GB2312" w:hAnsi="Times New Roman" w:eastAsia="仿宋_GB2312"/>
          <w:sz w:val="28"/>
          <w:szCs w:val="28"/>
        </w:rPr>
      </w:pPr>
      <w:r>
        <w:rPr>
          <w:rFonts w:hint="eastAsia" w:ascii="仿宋_GB2312" w:hAnsi="Times New Roman" w:eastAsia="仿宋_GB2312"/>
          <w:sz w:val="28"/>
          <w:szCs w:val="28"/>
          <w:lang w:val="en-US" w:eastAsia="zh-CN"/>
        </w:rPr>
        <w:t>5.</w:t>
      </w:r>
      <w:r>
        <w:rPr>
          <w:rFonts w:hint="eastAsia" w:ascii="仿宋_GB2312" w:hAnsi="Times New Roman" w:eastAsia="仿宋_GB2312"/>
          <w:sz w:val="28"/>
          <w:szCs w:val="28"/>
        </w:rPr>
        <w:t>行权日日终，中国结算根据行权数据</w:t>
      </w:r>
      <w:r>
        <w:rPr>
          <w:rFonts w:hint="eastAsia" w:ascii="仿宋_GB2312" w:hAnsi="Times New Roman" w:eastAsia="仿宋_GB2312"/>
          <w:sz w:val="28"/>
          <w:szCs w:val="28"/>
          <w:lang w:eastAsia="zh-CN"/>
        </w:rPr>
        <w:t>（</w:t>
      </w:r>
      <w:r>
        <w:rPr>
          <w:rFonts w:hint="eastAsia" w:ascii="仿宋_GB2312" w:hAnsi="Times New Roman" w:eastAsia="仿宋_GB2312"/>
          <w:sz w:val="28"/>
          <w:szCs w:val="28"/>
        </w:rPr>
        <w:t>包括非行权指令合并申报数据及有效的行权指令合并申报数据</w:t>
      </w:r>
      <w:r>
        <w:rPr>
          <w:rFonts w:hint="eastAsia" w:ascii="仿宋_GB2312" w:hAnsi="Times New Roman" w:eastAsia="仿宋_GB2312"/>
          <w:sz w:val="28"/>
          <w:szCs w:val="28"/>
          <w:lang w:eastAsia="zh-CN"/>
        </w:rPr>
        <w:t>）</w:t>
      </w:r>
      <w:r>
        <w:rPr>
          <w:rFonts w:hint="eastAsia" w:ascii="仿宋_GB2312" w:hAnsi="Times New Roman" w:eastAsia="仿宋_GB2312"/>
          <w:sz w:val="28"/>
          <w:szCs w:val="28"/>
        </w:rPr>
        <w:t>，先对行权指令合并申报数据进行处理，再对非行权指令合并申报数据进行处理。若行权指令合并申报数量超过客户可用净头寸，则仅权利仓净头寸部分有效。在完成行权指令合并申报数据的处理后，中国结算根据行权可用权利仓数量，按现有规则对非合并申报的认购、认沽行权数据进行有效性检查。中国结算汇总通过有效性检查的行权指令合并申报及非行权指令合并申报数据，形成有效行权，并按现有规则完成行权指派、行权清算和行权交收等后续业务处理。</w:t>
      </w:r>
    </w:p>
    <w:p w14:paraId="41EC83AC">
      <w:pPr>
        <w:spacing w:beforeLines="50" w:afterLines="50"/>
        <w:ind w:firstLine="0" w:firstLineChars="0"/>
        <w:rPr>
          <w:rFonts w:hint="eastAsia" w:ascii="仿宋_GB2312" w:hAnsi="Times New Roman" w:eastAsia="仿宋_GB2312"/>
          <w:sz w:val="28"/>
          <w:szCs w:val="28"/>
        </w:rPr>
      </w:pPr>
    </w:p>
    <w:p w14:paraId="5F64582A">
      <w:pPr>
        <w:spacing w:beforeLines="50" w:afterLines="50"/>
        <w:ind w:firstLine="0" w:firstLineChars="0"/>
        <w:rPr>
          <w:rFonts w:hint="eastAsia" w:ascii="仿宋_GB2312" w:hAnsi="Times New Roman" w:eastAsia="仿宋_GB2312"/>
          <w:sz w:val="28"/>
          <w:szCs w:val="28"/>
        </w:rPr>
      </w:pPr>
    </w:p>
    <w:p w14:paraId="3ADEBF6D">
      <w:pPr>
        <w:spacing w:beforeLines="50" w:afterLines="50"/>
        <w:ind w:firstLine="0" w:firstLineChars="0"/>
        <w:rPr>
          <w:rFonts w:hint="eastAsia" w:ascii="仿宋_GB2312" w:hAnsi="Times New Roman" w:eastAsia="仿宋_GB2312"/>
          <w:sz w:val="28"/>
          <w:szCs w:val="28"/>
        </w:rPr>
      </w:pPr>
    </w:p>
    <w:p w14:paraId="3C82D599">
      <w:pPr>
        <w:spacing w:beforeLines="50" w:afterLines="50"/>
        <w:ind w:firstLine="0" w:firstLineChars="0"/>
        <w:rPr>
          <w:rFonts w:hint="eastAsia" w:ascii="仿宋_GB2312" w:hAnsi="Times New Roman" w:eastAsia="仿宋_GB2312"/>
          <w:sz w:val="28"/>
          <w:szCs w:val="28"/>
        </w:rPr>
      </w:pPr>
    </w:p>
    <w:p w14:paraId="0586BE0C">
      <w:pPr>
        <w:spacing w:beforeLines="50" w:afterLines="50"/>
        <w:ind w:firstLine="0" w:firstLineChars="0"/>
        <w:rPr>
          <w:rFonts w:hint="eastAsia" w:ascii="仿宋_GB2312" w:hAnsi="Times New Roman" w:eastAsia="仿宋_GB2312"/>
          <w:sz w:val="28"/>
          <w:szCs w:val="28"/>
        </w:rPr>
      </w:pPr>
    </w:p>
    <w:p w14:paraId="4609F1BC">
      <w:pPr>
        <w:spacing w:beforeLines="50" w:afterLines="50"/>
        <w:ind w:firstLine="0" w:firstLineChars="0"/>
        <w:rPr>
          <w:rFonts w:hint="eastAsia" w:ascii="仿宋_GB2312" w:hAnsi="Times New Roman" w:eastAsia="仿宋_GB2312"/>
          <w:sz w:val="28"/>
          <w:szCs w:val="28"/>
        </w:rPr>
      </w:pPr>
    </w:p>
    <w:p w14:paraId="4182667B">
      <w:pPr>
        <w:spacing w:beforeLines="50" w:afterLines="50"/>
        <w:ind w:firstLine="0" w:firstLineChars="0"/>
        <w:rPr>
          <w:rFonts w:hint="eastAsia" w:ascii="仿宋_GB2312" w:hAnsi="Times New Roman" w:eastAsia="仿宋_GB2312"/>
          <w:sz w:val="28"/>
          <w:szCs w:val="28"/>
        </w:rPr>
      </w:pPr>
    </w:p>
    <w:p w14:paraId="55D179E4">
      <w:pPr>
        <w:spacing w:beforeLines="50" w:afterLines="50"/>
        <w:ind w:firstLine="0" w:firstLineChars="0"/>
        <w:rPr>
          <w:rFonts w:hint="eastAsia" w:ascii="仿宋_GB2312" w:hAnsi="Times New Roman" w:eastAsia="仿宋_GB2312"/>
          <w:sz w:val="28"/>
          <w:szCs w:val="28"/>
        </w:rPr>
      </w:pPr>
    </w:p>
    <w:p w14:paraId="60ECC78C">
      <w:pPr>
        <w:spacing w:beforeLines="50" w:afterLines="50"/>
        <w:ind w:firstLine="0" w:firstLineChars="0"/>
        <w:rPr>
          <w:rFonts w:hint="eastAsia" w:ascii="仿宋_GB2312" w:hAnsi="Times New Roman" w:eastAsia="仿宋_GB2312"/>
          <w:sz w:val="28"/>
          <w:szCs w:val="28"/>
        </w:rPr>
      </w:pPr>
    </w:p>
    <w:p w14:paraId="5AE81025">
      <w:pPr>
        <w:spacing w:beforeLines="50" w:afterLines="50"/>
        <w:ind w:firstLine="0" w:firstLineChars="0"/>
        <w:rPr>
          <w:rFonts w:hint="eastAsia" w:ascii="仿宋_GB2312" w:hAnsi="Times New Roman" w:eastAsia="仿宋_GB2312"/>
          <w:sz w:val="28"/>
          <w:szCs w:val="28"/>
        </w:rPr>
      </w:pPr>
    </w:p>
    <w:p w14:paraId="00FBF145">
      <w:pPr>
        <w:spacing w:beforeLines="50" w:afterLines="50"/>
        <w:ind w:firstLine="0" w:firstLineChars="0"/>
        <w:rPr>
          <w:rFonts w:hint="eastAsia" w:ascii="仿宋_GB2312" w:hAnsi="Times New Roman" w:eastAsia="仿宋_GB2312"/>
          <w:sz w:val="28"/>
          <w:szCs w:val="28"/>
        </w:rPr>
      </w:pPr>
    </w:p>
    <w:p w14:paraId="6E68DE46">
      <w:pPr>
        <w:spacing w:beforeLines="50" w:afterLines="50"/>
        <w:ind w:firstLine="0" w:firstLineChars="0"/>
        <w:rPr>
          <w:rFonts w:hint="eastAsia" w:ascii="仿宋_GB2312" w:hAnsi="Times New Roman" w:eastAsia="仿宋_GB2312"/>
          <w:sz w:val="28"/>
          <w:szCs w:val="28"/>
        </w:rPr>
      </w:pPr>
    </w:p>
    <w:p w14:paraId="2620D772">
      <w:pPr>
        <w:spacing w:beforeLines="50" w:afterLines="50"/>
        <w:ind w:firstLine="0" w:firstLineChars="0"/>
        <w:rPr>
          <w:rFonts w:hint="eastAsia" w:ascii="仿宋_GB2312" w:hAnsi="Times New Roman" w:eastAsia="仿宋_GB2312"/>
          <w:sz w:val="28"/>
          <w:szCs w:val="28"/>
          <w:lang w:val="zh-CN"/>
        </w:rPr>
      </w:pPr>
    </w:p>
    <w:p w14:paraId="6139EA44">
      <w:pPr>
        <w:spacing w:beforeLines="50" w:afterLines="50"/>
        <w:ind w:firstLine="0" w:firstLineChars="0"/>
        <w:rPr>
          <w:rFonts w:hint="eastAsia" w:ascii="仿宋_GB2312" w:hAnsi="Times New Roman" w:eastAsia="仿宋_GB2312"/>
          <w:sz w:val="28"/>
          <w:szCs w:val="28"/>
          <w:lang w:val="zh-CN"/>
        </w:rPr>
      </w:pPr>
    </w:p>
    <w:p w14:paraId="79535878">
      <w:pPr>
        <w:spacing w:beforeLines="50" w:afterLines="50"/>
        <w:ind w:firstLine="0" w:firstLineChars="0"/>
        <w:rPr>
          <w:rFonts w:hint="eastAsia" w:ascii="仿宋_GB2312" w:hAnsi="Times New Roman" w:eastAsia="仿宋_GB2312"/>
          <w:sz w:val="28"/>
          <w:szCs w:val="28"/>
          <w:lang w:val="zh-CN"/>
        </w:rPr>
      </w:pPr>
    </w:p>
    <w:p w14:paraId="7D74C35D">
      <w:pPr>
        <w:spacing w:beforeLines="50" w:afterLines="50"/>
        <w:ind w:firstLine="0" w:firstLineChars="0"/>
        <w:rPr>
          <w:rFonts w:hint="eastAsia" w:ascii="仿宋_GB2312" w:hAnsi="Times New Roman" w:eastAsia="仿宋_GB2312"/>
          <w:sz w:val="28"/>
          <w:szCs w:val="28"/>
          <w:lang w:val="zh-CN"/>
        </w:rPr>
      </w:pPr>
    </w:p>
    <w:p w14:paraId="5F71087A">
      <w:pPr>
        <w:spacing w:beforeLines="50" w:afterLines="50"/>
        <w:ind w:firstLine="0" w:firstLineChars="0"/>
        <w:rPr>
          <w:rFonts w:hint="eastAsia" w:ascii="仿宋_GB2312" w:hAnsi="Times New Roman" w:eastAsia="仿宋_GB2312"/>
          <w:sz w:val="28"/>
          <w:szCs w:val="28"/>
          <w:lang w:val="zh-CN"/>
        </w:rPr>
      </w:pPr>
    </w:p>
    <w:p w14:paraId="00B8F729">
      <w:pPr>
        <w:spacing w:before="156" w:beforeLines="50" w:after="156" w:afterLines="50"/>
        <w:jc w:val="center"/>
        <w:outlineLvl w:val="0"/>
        <w:rPr>
          <w:rFonts w:hint="eastAsia" w:ascii="Times New Roman" w:hAnsi="Times New Roman" w:eastAsia="黑体"/>
          <w:b/>
          <w:bCs/>
          <w:sz w:val="32"/>
          <w:szCs w:val="32"/>
        </w:rPr>
      </w:pPr>
      <w:bookmarkStart w:id="363" w:name="_Toc23947004"/>
      <w:r>
        <w:rPr>
          <w:rFonts w:hint="eastAsia" w:ascii="Times New Roman" w:hAnsi="Times New Roman" w:eastAsia="黑体"/>
          <w:b/>
          <w:bCs/>
          <w:sz w:val="32"/>
          <w:szCs w:val="32"/>
        </w:rPr>
        <w:t>第十章 协议行权</w:t>
      </w:r>
      <w:bookmarkEnd w:id="363"/>
    </w:p>
    <w:p w14:paraId="084992D9">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协议行权是指期货公司与客户通过</w:t>
      </w:r>
      <w:r>
        <w:rPr>
          <w:rFonts w:hint="eastAsia" w:ascii="仿宋_GB2312" w:hAnsi="Times New Roman" w:eastAsia="仿宋_GB2312"/>
          <w:color w:val="000000"/>
          <w:sz w:val="28"/>
          <w:szCs w:val="28"/>
          <w:lang w:val="en-US" w:eastAsia="zh-CN"/>
        </w:rPr>
        <w:t>股票</w:t>
      </w:r>
      <w:r>
        <w:rPr>
          <w:rFonts w:hint="eastAsia" w:ascii="仿宋_GB2312" w:hAnsi="Times New Roman" w:eastAsia="仿宋_GB2312"/>
          <w:color w:val="000000"/>
          <w:sz w:val="28"/>
          <w:szCs w:val="28"/>
        </w:rPr>
        <w:t>期权经纪合同约定，期货公司借助系统为客户指定合约设置行权策略，客户在行权日不必再提交行权委托，系统会为指定合约自动提交行权委托的服务。协议行权能够降低客户在行权日忘记行权带来损失的风险。</w:t>
      </w:r>
    </w:p>
    <w:p w14:paraId="2D861D84">
      <w:pPr>
        <w:ind w:firstLine="560"/>
        <w:rPr>
          <w:rFonts w:hint="eastAsia" w:ascii="Times New Roman" w:hAnsi="Times New Roman" w:eastAsia="黑体"/>
          <w:sz w:val="28"/>
          <w:szCs w:val="28"/>
        </w:rPr>
      </w:pPr>
      <w:bookmarkStart w:id="364" w:name="_Toc23947005"/>
      <w:r>
        <w:rPr>
          <w:rFonts w:hint="eastAsia" w:ascii="Times New Roman" w:hAnsi="Times New Roman" w:eastAsia="黑体"/>
          <w:sz w:val="28"/>
          <w:szCs w:val="28"/>
        </w:rPr>
        <w:t>一、协议行权策略</w:t>
      </w:r>
      <w:bookmarkEnd w:id="364"/>
    </w:p>
    <w:p w14:paraId="271EAD2E">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期货公司可为客户提供协议行权服务的选择，客户可以自行选择策略和触发条件，以此确定策略</w:t>
      </w:r>
      <w:r>
        <w:rPr>
          <w:rFonts w:ascii="Times New Roman" w:hAnsi="Times New Roman" w:eastAsia="仿宋_GB2312"/>
          <w:sz w:val="28"/>
          <w:szCs w:val="28"/>
        </w:rPr>
        <w:t>阈值</w:t>
      </w:r>
      <w:r>
        <w:rPr>
          <w:rFonts w:hint="eastAsia" w:ascii="仿宋_GB2312" w:hAnsi="Times New Roman" w:eastAsia="仿宋_GB2312"/>
          <w:color w:val="000000"/>
          <w:sz w:val="28"/>
          <w:szCs w:val="28"/>
        </w:rPr>
        <w:t>。建议期货公司将协议行权申报委托时间设定在收盘后。</w:t>
      </w:r>
    </w:p>
    <w:p w14:paraId="58EF09CD">
      <w:pPr>
        <w:ind w:firstLine="560" w:firstLineChars="200"/>
        <w:rPr>
          <w:rFonts w:ascii="仿宋_GB2312" w:hAnsi="Times New Roman" w:eastAsia="仿宋_GB2312"/>
          <w:color w:val="000000"/>
          <w:sz w:val="28"/>
          <w:szCs w:val="28"/>
        </w:rPr>
      </w:pPr>
      <w:r>
        <w:rPr>
          <w:rFonts w:hint="eastAsia" w:ascii="仿宋_GB2312" w:hAnsi="Times New Roman" w:eastAsia="仿宋_GB2312"/>
          <w:sz w:val="28"/>
          <w:szCs w:val="28"/>
        </w:rPr>
        <w:t>以下为</w:t>
      </w:r>
      <w:r>
        <w:rPr>
          <w:rFonts w:hint="eastAsia" w:ascii="仿宋_GB2312" w:hAnsi="Times New Roman" w:eastAsia="仿宋_GB2312"/>
          <w:color w:val="000000"/>
          <w:sz w:val="28"/>
          <w:szCs w:val="28"/>
        </w:rPr>
        <w:t>协议行权策略举例，仅供参考，期货公司可以根据自身情况制定协议行权策略：</w:t>
      </w:r>
    </w:p>
    <w:p w14:paraId="6BAD1127">
      <w:pPr>
        <w:ind w:firstLine="560" w:firstLineChars="200"/>
        <w:rPr>
          <w:rFonts w:ascii="仿宋_GB2312" w:hAnsi="Times New Roman" w:eastAsia="仿宋_GB2312"/>
          <w:color w:val="000000"/>
          <w:sz w:val="28"/>
          <w:szCs w:val="28"/>
        </w:rPr>
      </w:pPr>
      <w:r>
        <w:rPr>
          <w:rFonts w:hint="eastAsia" w:ascii="Times New Roman" w:hAnsi="Times New Roman" w:eastAsia="仿宋_GB2312"/>
          <w:sz w:val="28"/>
          <w:szCs w:val="28"/>
        </w:rPr>
        <w:t>1.</w:t>
      </w:r>
      <w:r>
        <w:rPr>
          <w:rFonts w:hint="eastAsia" w:ascii="仿宋_GB2312" w:hAnsi="Times New Roman" w:eastAsia="仿宋_GB2312"/>
          <w:color w:val="000000"/>
          <w:sz w:val="28"/>
          <w:szCs w:val="28"/>
        </w:rPr>
        <w:t>实值x元即行权</w:t>
      </w:r>
    </w:p>
    <w:p w14:paraId="30D58F04">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认购期权：收盘价 - 行权价≥策略</w:t>
      </w:r>
      <w:r>
        <w:rPr>
          <w:rFonts w:ascii="Times New Roman" w:hAnsi="Times New Roman" w:eastAsia="仿宋_GB2312"/>
          <w:sz w:val="28"/>
          <w:szCs w:val="28"/>
        </w:rPr>
        <w:t>阈值</w:t>
      </w:r>
    </w:p>
    <w:p w14:paraId="3E91A0CE">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认沽期权：行权价 - 收盘价≥策略</w:t>
      </w:r>
      <w:r>
        <w:rPr>
          <w:rFonts w:ascii="Times New Roman" w:hAnsi="Times New Roman" w:eastAsia="仿宋_GB2312"/>
          <w:sz w:val="28"/>
          <w:szCs w:val="28"/>
        </w:rPr>
        <w:t>阈值</w:t>
      </w:r>
    </w:p>
    <w:p w14:paraId="7E372E1B">
      <w:pPr>
        <w:ind w:firstLine="560" w:firstLineChars="200"/>
        <w:rPr>
          <w:rFonts w:ascii="仿宋_GB2312" w:hAnsi="Times New Roman" w:eastAsia="仿宋_GB2312"/>
          <w:color w:val="000000"/>
          <w:sz w:val="28"/>
          <w:szCs w:val="28"/>
        </w:rPr>
      </w:pPr>
      <w:r>
        <w:rPr>
          <w:rFonts w:hint="eastAsia" w:ascii="Times New Roman" w:hAnsi="Times New Roman" w:eastAsia="仿宋_GB2312"/>
          <w:sz w:val="28"/>
          <w:szCs w:val="28"/>
        </w:rPr>
        <w:t>2.</w:t>
      </w:r>
      <w:r>
        <w:rPr>
          <w:rFonts w:hint="eastAsia" w:ascii="仿宋_GB2312" w:hAnsi="Times New Roman" w:eastAsia="仿宋_GB2312"/>
          <w:color w:val="000000"/>
          <w:sz w:val="28"/>
          <w:szCs w:val="28"/>
        </w:rPr>
        <w:t>盈利x元即行权</w:t>
      </w:r>
    </w:p>
    <w:p w14:paraId="676AF15A">
      <w:pPr>
        <w:spacing w:before="0" w:beforeLines="-2147483648" w:after="0" w:afterLines="-2147483648"/>
        <w:ind w:firstLine="560" w:firstLineChars="200"/>
        <w:rPr>
          <w:rFonts w:ascii="Times New Roman" w:hAnsi="Times New Roman" w:eastAsia="仿宋_GB2312"/>
          <w:sz w:val="28"/>
          <w:szCs w:val="28"/>
        </w:rPr>
      </w:pPr>
      <w:r>
        <w:rPr>
          <w:rFonts w:hint="eastAsia" w:ascii="仿宋_GB2312" w:hAnsi="Times New Roman" w:eastAsia="仿宋_GB2312"/>
          <w:color w:val="000000"/>
          <w:sz w:val="28"/>
          <w:szCs w:val="28"/>
        </w:rPr>
        <w:t>认购期权：收盘价 - 行权价 - 折算的单份费用≥策略</w:t>
      </w:r>
      <w:r>
        <w:rPr>
          <w:rFonts w:ascii="Times New Roman" w:hAnsi="Times New Roman" w:eastAsia="仿宋_GB2312"/>
          <w:sz w:val="28"/>
          <w:szCs w:val="28"/>
        </w:rPr>
        <w:t>阈值</w:t>
      </w:r>
    </w:p>
    <w:p w14:paraId="4426766B">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认沽期权：行权价 - 收盘价 - 折算的单份费用≥策略</w:t>
      </w:r>
      <w:r>
        <w:rPr>
          <w:rFonts w:ascii="Times New Roman" w:hAnsi="Times New Roman" w:eastAsia="仿宋_GB2312"/>
          <w:sz w:val="28"/>
          <w:szCs w:val="28"/>
        </w:rPr>
        <w:t>阈值</w:t>
      </w:r>
    </w:p>
    <w:p w14:paraId="3C3E51D7">
      <w:pPr>
        <w:ind w:firstLine="560" w:firstLineChars="200"/>
        <w:rPr>
          <w:rFonts w:ascii="仿宋_GB2312" w:hAnsi="Times New Roman" w:eastAsia="仿宋_GB2312"/>
          <w:color w:val="000000"/>
          <w:sz w:val="28"/>
          <w:szCs w:val="28"/>
        </w:rPr>
      </w:pPr>
      <w:r>
        <w:rPr>
          <w:rFonts w:hint="eastAsia" w:ascii="Times New Roman" w:hAnsi="Times New Roman" w:eastAsia="仿宋_GB2312"/>
          <w:sz w:val="28"/>
          <w:szCs w:val="28"/>
        </w:rPr>
        <w:t>3.</w:t>
      </w:r>
      <w:r>
        <w:rPr>
          <w:rFonts w:hint="eastAsia" w:ascii="仿宋_GB2312" w:hAnsi="Times New Roman" w:eastAsia="仿宋_GB2312"/>
          <w:color w:val="000000"/>
          <w:sz w:val="28"/>
          <w:szCs w:val="28"/>
        </w:rPr>
        <w:t>实值百分比即行权</w:t>
      </w:r>
    </w:p>
    <w:p w14:paraId="65B54F75">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认购期权：（收盘价 - 行权价）/行权价≥策略</w:t>
      </w:r>
      <w:r>
        <w:rPr>
          <w:rFonts w:ascii="Times New Roman" w:hAnsi="Times New Roman" w:eastAsia="仿宋_GB2312"/>
          <w:sz w:val="28"/>
          <w:szCs w:val="28"/>
        </w:rPr>
        <w:t>阈值</w:t>
      </w:r>
    </w:p>
    <w:p w14:paraId="2D6F14EE">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认沽期权：（行权价 - 收盘价）/行权价≥策略</w:t>
      </w:r>
      <w:r>
        <w:rPr>
          <w:rFonts w:ascii="Times New Roman" w:hAnsi="Times New Roman" w:eastAsia="仿宋_GB2312"/>
          <w:sz w:val="28"/>
          <w:szCs w:val="28"/>
        </w:rPr>
        <w:t>阈值</w:t>
      </w:r>
    </w:p>
    <w:p w14:paraId="3160AB60">
      <w:pPr>
        <w:ind w:firstLine="560" w:firstLineChars="200"/>
        <w:rPr>
          <w:rFonts w:ascii="仿宋_GB2312" w:hAnsi="Times New Roman" w:eastAsia="仿宋_GB2312"/>
          <w:color w:val="000000"/>
          <w:sz w:val="28"/>
          <w:szCs w:val="28"/>
        </w:rPr>
      </w:pPr>
      <w:r>
        <w:rPr>
          <w:rFonts w:hint="eastAsia" w:ascii="Times New Roman" w:hAnsi="Times New Roman" w:eastAsia="仿宋_GB2312"/>
          <w:sz w:val="28"/>
          <w:szCs w:val="28"/>
        </w:rPr>
        <w:t>4.</w:t>
      </w:r>
      <w:r>
        <w:rPr>
          <w:rFonts w:hint="eastAsia" w:ascii="仿宋_GB2312" w:hAnsi="Times New Roman" w:eastAsia="仿宋_GB2312"/>
          <w:color w:val="000000"/>
          <w:sz w:val="28"/>
          <w:szCs w:val="28"/>
        </w:rPr>
        <w:t>盈利百分比即行权</w:t>
      </w:r>
    </w:p>
    <w:p w14:paraId="0A739E1C">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认购期权：（收盘价 - 行权价- 折算的单份费用）/（行权价 + 折算的单份费用）≥策略</w:t>
      </w:r>
      <w:r>
        <w:rPr>
          <w:rFonts w:ascii="Times New Roman" w:hAnsi="Times New Roman" w:eastAsia="仿宋_GB2312"/>
          <w:sz w:val="28"/>
          <w:szCs w:val="28"/>
        </w:rPr>
        <w:t>阈值</w:t>
      </w:r>
    </w:p>
    <w:p w14:paraId="429741AA">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认沽期权：（行权价 - 收盘价- 折算的单份费用）/（行权价 + 折算的单份费用）≥策略</w:t>
      </w:r>
      <w:r>
        <w:rPr>
          <w:rFonts w:ascii="Times New Roman" w:hAnsi="Times New Roman" w:eastAsia="仿宋_GB2312"/>
          <w:sz w:val="28"/>
          <w:szCs w:val="28"/>
        </w:rPr>
        <w:t>阈值</w:t>
      </w:r>
    </w:p>
    <w:p w14:paraId="45970316">
      <w:pPr>
        <w:ind w:firstLine="560"/>
        <w:rPr>
          <w:rFonts w:hint="eastAsia" w:ascii="Times New Roman" w:hAnsi="Times New Roman" w:eastAsia="黑体"/>
          <w:sz w:val="28"/>
          <w:szCs w:val="28"/>
        </w:rPr>
      </w:pPr>
      <w:bookmarkStart w:id="365" w:name="_Toc23947006"/>
      <w:r>
        <w:rPr>
          <w:rFonts w:hint="eastAsia" w:ascii="Times New Roman" w:hAnsi="Times New Roman" w:eastAsia="黑体"/>
          <w:sz w:val="28"/>
          <w:szCs w:val="28"/>
        </w:rPr>
        <w:t>二、协议行权注意事项</w:t>
      </w:r>
      <w:bookmarkEnd w:id="365"/>
    </w:p>
    <w:p w14:paraId="2522B42D">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投资者可以在任意交易日的交易时间设置针对任意合约的协议行权策略，包括没有持仓的合约；也可以设置一条针对所有合约都适用的行权策略。</w:t>
      </w:r>
    </w:p>
    <w:p w14:paraId="4DB07FC2">
      <w:pPr>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期货公司在经过客户认可后，可以为客户设置默认的协议行权策略，该策略的</w:t>
      </w:r>
      <w:r>
        <w:rPr>
          <w:rFonts w:ascii="Times New Roman" w:hAnsi="Times New Roman" w:eastAsia="仿宋_GB2312"/>
          <w:sz w:val="28"/>
          <w:szCs w:val="28"/>
        </w:rPr>
        <w:t>阈值</w:t>
      </w:r>
      <w:r>
        <w:rPr>
          <w:rFonts w:hint="eastAsia" w:ascii="仿宋_GB2312" w:hAnsi="Times New Roman" w:eastAsia="仿宋_GB2312"/>
          <w:color w:val="000000"/>
          <w:sz w:val="28"/>
          <w:szCs w:val="28"/>
        </w:rPr>
        <w:t>由期货公司自行设定。</w:t>
      </w:r>
    </w:p>
    <w:p w14:paraId="691F9318">
      <w:pPr>
        <w:ind w:firstLine="560" w:firstLineChars="200"/>
        <w:rPr>
          <w:rFonts w:ascii="仿宋_GB2312" w:hAnsi="Times New Roman" w:eastAsia="仿宋_GB2312"/>
          <w:sz w:val="28"/>
          <w:szCs w:val="28"/>
        </w:rPr>
      </w:pPr>
      <w:r>
        <w:rPr>
          <w:rFonts w:hint="eastAsia" w:ascii="仿宋_GB2312" w:hAnsi="Times New Roman" w:eastAsia="仿宋_GB2312"/>
          <w:color w:val="000000"/>
          <w:sz w:val="28"/>
          <w:szCs w:val="28"/>
        </w:rPr>
        <w:t>客户</w:t>
      </w:r>
      <w:r>
        <w:rPr>
          <w:rFonts w:hint="eastAsia" w:ascii="仿宋_GB2312" w:hAnsi="Times New Roman" w:eastAsia="仿宋_GB2312"/>
          <w:sz w:val="28"/>
          <w:szCs w:val="28"/>
        </w:rPr>
        <w:t>自行设置的协议行权策略优先于期货公司为客户设置的默认协议行权策略。</w:t>
      </w:r>
    </w:p>
    <w:p w14:paraId="4CCF0DFE">
      <w:pPr>
        <w:ind w:firstLine="560" w:firstLineChars="200"/>
        <w:rPr>
          <w:rFonts w:ascii="仿宋_GB2312" w:hAnsi="Times New Roman" w:eastAsia="仿宋_GB2312"/>
          <w:color w:val="000000"/>
          <w:sz w:val="28"/>
          <w:szCs w:val="28"/>
        </w:rPr>
      </w:pPr>
      <w:r>
        <w:rPr>
          <w:rFonts w:hint="eastAsia" w:ascii="仿宋_GB2312" w:hAnsi="Times New Roman" w:eastAsia="仿宋_GB2312"/>
          <w:sz w:val="28"/>
          <w:szCs w:val="28"/>
        </w:rPr>
        <w:t>客户</w:t>
      </w:r>
      <w:r>
        <w:rPr>
          <w:rFonts w:hint="eastAsia" w:ascii="仿宋_GB2312" w:hAnsi="Times New Roman" w:eastAsia="仿宋_GB2312"/>
          <w:color w:val="000000"/>
          <w:sz w:val="28"/>
          <w:szCs w:val="28"/>
        </w:rPr>
        <w:t>在行权日发出的手动行权委托（即客户在行权日提交的行权委托）优先于</w:t>
      </w:r>
      <w:r>
        <w:rPr>
          <w:rFonts w:hint="eastAsia" w:ascii="仿宋_GB2312" w:hAnsi="Times New Roman" w:eastAsia="仿宋_GB2312"/>
          <w:sz w:val="28"/>
          <w:szCs w:val="28"/>
        </w:rPr>
        <w:t>协议行权</w:t>
      </w:r>
      <w:r>
        <w:rPr>
          <w:rFonts w:hint="eastAsia" w:eastAsia="仿宋_GB2312"/>
          <w:sz w:val="28"/>
          <w:szCs w:val="28"/>
        </w:rPr>
        <w:t>委托</w:t>
      </w:r>
      <w:r>
        <w:rPr>
          <w:rFonts w:hint="eastAsia" w:ascii="仿宋_GB2312" w:hAnsi="Times New Roman" w:eastAsia="仿宋_GB2312"/>
          <w:color w:val="000000"/>
          <w:sz w:val="28"/>
          <w:szCs w:val="28"/>
        </w:rPr>
        <w:t>。</w:t>
      </w:r>
    </w:p>
    <w:p w14:paraId="37CA0CD7">
      <w:pPr>
        <w:jc w:val="center"/>
        <w:outlineLvl w:val="0"/>
        <w:rPr>
          <w:rFonts w:ascii="Times New Roman" w:hAnsi="Times New Roman" w:eastAsia="黑体"/>
          <w:b/>
          <w:bCs/>
          <w:sz w:val="30"/>
          <w:szCs w:val="24"/>
        </w:rPr>
      </w:pPr>
    </w:p>
    <w:p w14:paraId="0ECCDEB9">
      <w:pPr>
        <w:jc w:val="center"/>
        <w:outlineLvl w:val="0"/>
        <w:rPr>
          <w:rFonts w:ascii="Times New Roman" w:hAnsi="Times New Roman" w:eastAsia="黑体"/>
          <w:b/>
          <w:bCs/>
          <w:sz w:val="30"/>
          <w:szCs w:val="24"/>
        </w:rPr>
      </w:pPr>
    </w:p>
    <w:p w14:paraId="003F53B9">
      <w:pPr>
        <w:jc w:val="center"/>
        <w:outlineLvl w:val="0"/>
        <w:rPr>
          <w:rFonts w:ascii="Times New Roman" w:hAnsi="Times New Roman" w:eastAsia="黑体"/>
          <w:b/>
          <w:bCs/>
          <w:sz w:val="30"/>
          <w:szCs w:val="24"/>
        </w:rPr>
      </w:pPr>
    </w:p>
    <w:p w14:paraId="578B608D">
      <w:pPr>
        <w:jc w:val="center"/>
        <w:outlineLvl w:val="0"/>
        <w:rPr>
          <w:rFonts w:ascii="Times New Roman" w:hAnsi="Times New Roman" w:eastAsia="黑体"/>
          <w:b/>
          <w:bCs/>
          <w:sz w:val="30"/>
          <w:szCs w:val="24"/>
        </w:rPr>
      </w:pPr>
    </w:p>
    <w:p w14:paraId="458846B0">
      <w:pPr>
        <w:jc w:val="center"/>
        <w:outlineLvl w:val="0"/>
        <w:rPr>
          <w:rFonts w:ascii="Times New Roman" w:hAnsi="Times New Roman" w:eastAsia="黑体"/>
          <w:b/>
          <w:bCs/>
          <w:sz w:val="30"/>
          <w:szCs w:val="24"/>
        </w:rPr>
      </w:pPr>
    </w:p>
    <w:p w14:paraId="3B5D3346">
      <w:pPr>
        <w:jc w:val="center"/>
        <w:outlineLvl w:val="0"/>
        <w:rPr>
          <w:rFonts w:ascii="Times New Roman" w:hAnsi="Times New Roman" w:eastAsia="黑体"/>
          <w:b/>
          <w:bCs/>
          <w:sz w:val="30"/>
          <w:szCs w:val="24"/>
        </w:rPr>
      </w:pPr>
    </w:p>
    <w:p w14:paraId="4EA9F73C">
      <w:pPr>
        <w:jc w:val="center"/>
        <w:outlineLvl w:val="0"/>
        <w:rPr>
          <w:rFonts w:ascii="Times New Roman" w:hAnsi="Times New Roman" w:eastAsia="黑体"/>
          <w:b/>
          <w:bCs/>
          <w:sz w:val="30"/>
          <w:szCs w:val="24"/>
        </w:rPr>
      </w:pPr>
    </w:p>
    <w:p w14:paraId="5CCAC851">
      <w:pPr>
        <w:jc w:val="center"/>
        <w:outlineLvl w:val="0"/>
        <w:rPr>
          <w:rFonts w:ascii="Times New Roman" w:hAnsi="Times New Roman" w:eastAsia="黑体"/>
          <w:b/>
          <w:bCs/>
          <w:sz w:val="30"/>
          <w:szCs w:val="24"/>
        </w:rPr>
      </w:pPr>
    </w:p>
    <w:p w14:paraId="2B9201F9">
      <w:pPr>
        <w:jc w:val="center"/>
        <w:outlineLvl w:val="0"/>
        <w:rPr>
          <w:rFonts w:ascii="Times New Roman" w:hAnsi="Times New Roman" w:eastAsia="黑体"/>
          <w:b/>
          <w:bCs/>
          <w:sz w:val="30"/>
          <w:szCs w:val="24"/>
        </w:rPr>
      </w:pPr>
    </w:p>
    <w:p w14:paraId="36565572">
      <w:pPr>
        <w:spacing w:before="156" w:beforeLines="50" w:after="156" w:afterLines="50"/>
        <w:jc w:val="center"/>
        <w:outlineLvl w:val="0"/>
        <w:rPr>
          <w:rFonts w:hint="eastAsia" w:ascii="Times New Roman" w:hAnsi="Times New Roman" w:eastAsia="黑体"/>
          <w:b/>
          <w:bCs/>
          <w:sz w:val="32"/>
          <w:szCs w:val="32"/>
        </w:rPr>
      </w:pPr>
      <w:bookmarkStart w:id="366" w:name="_Toc23947007"/>
      <w:r>
        <w:rPr>
          <w:rFonts w:hint="eastAsia" w:ascii="Times New Roman" w:hAnsi="Times New Roman" w:eastAsia="黑体"/>
          <w:b/>
          <w:bCs/>
          <w:sz w:val="32"/>
          <w:szCs w:val="32"/>
        </w:rPr>
        <w:t>第十一章 客户资金划转与结算</w:t>
      </w:r>
      <w:bookmarkEnd w:id="366"/>
    </w:p>
    <w:p w14:paraId="1E110297">
      <w:pPr>
        <w:ind w:firstLine="560"/>
        <w:rPr>
          <w:rFonts w:hint="eastAsia" w:ascii="Times New Roman" w:hAnsi="Times New Roman" w:eastAsia="黑体"/>
          <w:sz w:val="28"/>
          <w:szCs w:val="28"/>
        </w:rPr>
      </w:pPr>
      <w:bookmarkStart w:id="367" w:name="_Toc23947008"/>
      <w:r>
        <w:rPr>
          <w:rFonts w:hint="eastAsia" w:ascii="Times New Roman" w:hAnsi="Times New Roman" w:eastAsia="黑体"/>
          <w:sz w:val="28"/>
          <w:szCs w:val="28"/>
        </w:rPr>
        <w:t>一、资金划转</w:t>
      </w:r>
      <w:bookmarkEnd w:id="367"/>
    </w:p>
    <w:p w14:paraId="6075EFFD">
      <w:pPr>
        <w:ind w:firstLine="560" w:firstLineChars="200"/>
        <w:rPr>
          <w:rFonts w:ascii="仿宋_GB2312" w:eastAsia="仿宋_GB2312"/>
          <w:color w:val="000000"/>
          <w:sz w:val="28"/>
          <w:szCs w:val="28"/>
        </w:rPr>
      </w:pPr>
      <w:r>
        <w:rPr>
          <w:rFonts w:hint="eastAsia" w:ascii="仿宋_GB2312" w:eastAsia="仿宋_GB2312"/>
          <w:color w:val="000000"/>
          <w:sz w:val="28"/>
          <w:szCs w:val="28"/>
        </w:rPr>
        <w:t>对于现货资金划转，参照证券公司的做法，期货公司客户入金时，直接从银行结算账户向其在期货公司开立的证券资金账户划转；期货公司入金时，直接从期货公司的结算资金专用存款账户向在中国结算开立的资金交收账户划转。</w:t>
      </w:r>
    </w:p>
    <w:p w14:paraId="178F03E2">
      <w:pPr>
        <w:ind w:firstLine="560" w:firstLineChars="200"/>
        <w:rPr>
          <w:rFonts w:ascii="仿宋_GB2312" w:eastAsia="仿宋_GB2312"/>
          <w:color w:val="000000"/>
          <w:sz w:val="28"/>
          <w:szCs w:val="28"/>
        </w:rPr>
      </w:pPr>
      <w:r>
        <w:rPr>
          <w:rFonts w:hint="eastAsia" w:ascii="仿宋_GB2312" w:eastAsia="仿宋_GB2312"/>
          <w:color w:val="000000"/>
          <w:sz w:val="28"/>
          <w:szCs w:val="28"/>
        </w:rPr>
        <w:t>对于衍生品资金划转，期货公司客户入金时，直接从银行结算账户（可复用资金账户）向其在期货公司的衍生品资金账户（复用其期货保证金账户，该账户资金可用于交易封闭圈内指定金融产品，包括期货和期权）转账。期货公司入金时，直接从期货公司的期货保证金账户向其在中国结算开立的客户股票期权保证金账户转账。</w:t>
      </w:r>
    </w:p>
    <w:p w14:paraId="7650B98F">
      <w:pPr>
        <w:ind w:firstLine="560" w:firstLineChars="200"/>
        <w:rPr>
          <w:rFonts w:ascii="仿宋_GB2312" w:eastAsia="仿宋_GB2312"/>
          <w:color w:val="000000"/>
          <w:sz w:val="28"/>
          <w:szCs w:val="28"/>
        </w:rPr>
      </w:pPr>
      <w:r>
        <w:rPr>
          <w:rFonts w:hint="eastAsia" w:ascii="仿宋_GB2312" w:eastAsia="仿宋_GB2312"/>
          <w:color w:val="000000"/>
          <w:sz w:val="28"/>
          <w:szCs w:val="28"/>
        </w:rPr>
        <w:t>出金的相关操作与入金相反。</w:t>
      </w:r>
    </w:p>
    <w:p w14:paraId="1CBCBD5A">
      <w:pPr>
        <w:ind w:firstLine="560"/>
        <w:rPr>
          <w:rFonts w:hint="eastAsia" w:ascii="Times New Roman" w:hAnsi="Times New Roman" w:eastAsia="黑体"/>
          <w:sz w:val="28"/>
          <w:szCs w:val="28"/>
        </w:rPr>
      </w:pPr>
      <w:bookmarkStart w:id="368" w:name="_Toc23947009"/>
      <w:r>
        <w:rPr>
          <w:rFonts w:hint="eastAsia" w:ascii="Times New Roman" w:hAnsi="Times New Roman" w:eastAsia="黑体"/>
          <w:sz w:val="28"/>
          <w:szCs w:val="28"/>
        </w:rPr>
        <w:t>二、日常交易清算</w:t>
      </w:r>
      <w:bookmarkEnd w:id="368"/>
    </w:p>
    <w:p w14:paraId="18F14911">
      <w:pPr>
        <w:ind w:firstLine="560" w:firstLineChars="200"/>
        <w:rPr>
          <w:rFonts w:ascii="仿宋_GB2312" w:eastAsia="仿宋_GB2312"/>
          <w:color w:val="000000"/>
          <w:sz w:val="28"/>
          <w:szCs w:val="28"/>
        </w:rPr>
      </w:pPr>
      <w:r>
        <w:rPr>
          <w:rFonts w:hint="eastAsia" w:ascii="仿宋_GB2312" w:eastAsia="仿宋_GB2312"/>
          <w:color w:val="000000"/>
          <w:sz w:val="28"/>
          <w:szCs w:val="28"/>
        </w:rPr>
        <w:t>T日日终，期货公司根据中国结算发送的数据，对客户进行权利金和合约持仓变更的清算。当日单个客户全部股票期权交易资金清算结果以该客户股票期权保证金账户为单位进行轧差，形成该客户当日交易资金交收净应收/付净额（若T日前一交易日为行权交收日，资金净应收/付净额中包含过户费）。</w:t>
      </w:r>
    </w:p>
    <w:p w14:paraId="5B3B49F2">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对客户各交易类型清算处理如下：</w:t>
      </w:r>
    </w:p>
    <w:p w14:paraId="76C009B0">
      <w:pPr>
        <w:ind w:firstLine="560" w:firstLineChars="200"/>
        <w:rPr>
          <w:rFonts w:hint="eastAsia" w:ascii="仿宋_GB2312" w:eastAsia="仿宋_GB2312"/>
          <w:color w:val="000000"/>
          <w:sz w:val="28"/>
          <w:szCs w:val="28"/>
        </w:rPr>
      </w:pPr>
      <w:r>
        <w:rPr>
          <w:rFonts w:hint="eastAsia" w:ascii="Times New Roman" w:hAnsi="Times New Roman" w:eastAsia="仿宋_GB2312"/>
          <w:sz w:val="28"/>
          <w:szCs w:val="28"/>
        </w:rPr>
        <w:t>1.</w:t>
      </w:r>
      <w:r>
        <w:rPr>
          <w:rFonts w:hint="eastAsia" w:ascii="仿宋_GB2312" w:eastAsia="仿宋_GB2312"/>
          <w:color w:val="000000"/>
          <w:sz w:val="28"/>
          <w:szCs w:val="28"/>
        </w:rPr>
        <w:t>买入开仓：增加权利仓头寸，计减权利金；</w:t>
      </w:r>
    </w:p>
    <w:p w14:paraId="0ADB2ECB">
      <w:pPr>
        <w:ind w:firstLine="560" w:firstLineChars="200"/>
        <w:rPr>
          <w:rFonts w:hint="eastAsia" w:ascii="仿宋_GB2312" w:eastAsia="仿宋_GB2312"/>
          <w:color w:val="000000"/>
          <w:sz w:val="28"/>
          <w:szCs w:val="28"/>
        </w:rPr>
      </w:pPr>
      <w:r>
        <w:rPr>
          <w:rFonts w:hint="eastAsia" w:ascii="Times New Roman" w:hAnsi="Times New Roman" w:eastAsia="仿宋_GB2312"/>
          <w:sz w:val="28"/>
          <w:szCs w:val="28"/>
          <w:lang w:val="en-US" w:eastAsia="zh-CN"/>
        </w:rPr>
        <w:t>2</w:t>
      </w:r>
      <w:r>
        <w:rPr>
          <w:rFonts w:hint="eastAsia" w:ascii="Times New Roman" w:hAnsi="Times New Roman" w:eastAsia="仿宋_GB2312"/>
          <w:sz w:val="28"/>
          <w:szCs w:val="28"/>
        </w:rPr>
        <w:t>.</w:t>
      </w:r>
      <w:r>
        <w:rPr>
          <w:rFonts w:hint="eastAsia" w:ascii="仿宋_GB2312" w:eastAsia="仿宋_GB2312"/>
          <w:color w:val="000000"/>
          <w:sz w:val="28"/>
          <w:szCs w:val="28"/>
        </w:rPr>
        <w:t>卖出平仓：减少权利仓头寸，计增权利金；</w:t>
      </w:r>
    </w:p>
    <w:p w14:paraId="439A860D">
      <w:pPr>
        <w:ind w:firstLine="560" w:firstLineChars="200"/>
        <w:rPr>
          <w:rFonts w:hint="eastAsia" w:ascii="仿宋_GB2312" w:eastAsia="仿宋_GB2312"/>
          <w:color w:val="000000"/>
          <w:sz w:val="28"/>
          <w:szCs w:val="28"/>
        </w:rPr>
      </w:pP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w:t>
      </w:r>
      <w:r>
        <w:rPr>
          <w:rFonts w:hint="eastAsia" w:ascii="仿宋_GB2312" w:eastAsia="仿宋_GB2312"/>
          <w:color w:val="000000"/>
          <w:sz w:val="28"/>
          <w:szCs w:val="28"/>
        </w:rPr>
        <w:t>卖出开仓：增加义务仓头寸，计增权利金</w:t>
      </w:r>
      <w:r>
        <w:rPr>
          <w:rFonts w:hint="eastAsia" w:ascii="仿宋_GB2312" w:eastAsia="仿宋_GB2312"/>
          <w:color w:val="000000"/>
          <w:sz w:val="28"/>
          <w:szCs w:val="28"/>
          <w:lang w:eastAsia="zh-CN"/>
        </w:rPr>
        <w:t>（，</w:t>
      </w:r>
      <w:r>
        <w:rPr>
          <w:rFonts w:hint="eastAsia" w:ascii="仿宋_GB2312" w:eastAsia="仿宋_GB2312"/>
          <w:color w:val="000000"/>
          <w:sz w:val="28"/>
          <w:szCs w:val="28"/>
        </w:rPr>
        <w:t>计减</w:t>
      </w:r>
      <w:r>
        <w:rPr>
          <w:rFonts w:hint="eastAsia" w:ascii="仿宋_GB2312" w:eastAsia="仿宋_GB2312"/>
          <w:color w:val="000000"/>
          <w:sz w:val="28"/>
          <w:szCs w:val="28"/>
          <w:lang w:val="en-US" w:eastAsia="zh-CN"/>
        </w:rPr>
        <w:t>可用</w:t>
      </w:r>
      <w:r>
        <w:rPr>
          <w:rFonts w:hint="eastAsia" w:ascii="仿宋_GB2312" w:eastAsia="仿宋_GB2312"/>
          <w:color w:val="000000"/>
          <w:sz w:val="28"/>
          <w:szCs w:val="28"/>
        </w:rPr>
        <w:t>保证金</w:t>
      </w:r>
      <w:r>
        <w:rPr>
          <w:rFonts w:hint="eastAsia" w:ascii="仿宋_GB2312" w:eastAsia="仿宋_GB2312"/>
          <w:color w:val="000000"/>
          <w:sz w:val="28"/>
          <w:szCs w:val="28"/>
          <w:lang w:val="en-US" w:eastAsia="zh-CN"/>
        </w:rPr>
        <w:t>）</w:t>
      </w:r>
      <w:r>
        <w:rPr>
          <w:rFonts w:hint="eastAsia" w:ascii="仿宋_GB2312" w:eastAsia="仿宋_GB2312"/>
          <w:color w:val="000000"/>
          <w:sz w:val="28"/>
          <w:szCs w:val="28"/>
        </w:rPr>
        <w:t>；</w:t>
      </w:r>
    </w:p>
    <w:p w14:paraId="2652DE5A">
      <w:pPr>
        <w:ind w:firstLine="560" w:firstLineChars="200"/>
        <w:rPr>
          <w:rFonts w:hint="eastAsia" w:ascii="仿宋_GB2312" w:eastAsia="仿宋_GB2312"/>
          <w:color w:val="000000"/>
          <w:sz w:val="28"/>
          <w:szCs w:val="28"/>
        </w:rPr>
      </w:pP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w:t>
      </w:r>
      <w:r>
        <w:rPr>
          <w:rFonts w:hint="eastAsia" w:ascii="仿宋_GB2312" w:eastAsia="仿宋_GB2312"/>
          <w:color w:val="000000"/>
          <w:sz w:val="28"/>
          <w:szCs w:val="28"/>
        </w:rPr>
        <w:t>买入平仓：减少义务仓头寸，计减权利金</w:t>
      </w:r>
      <w:r>
        <w:rPr>
          <w:rFonts w:hint="eastAsia" w:ascii="仿宋_GB2312" w:eastAsia="仿宋_GB2312"/>
          <w:color w:val="000000"/>
          <w:sz w:val="28"/>
          <w:szCs w:val="28"/>
          <w:lang w:eastAsia="zh-CN"/>
        </w:rPr>
        <w:t>，（</w:t>
      </w:r>
      <w:r>
        <w:rPr>
          <w:rFonts w:hint="eastAsia" w:ascii="仿宋_GB2312" w:eastAsia="仿宋_GB2312"/>
          <w:color w:val="000000"/>
          <w:sz w:val="28"/>
          <w:szCs w:val="28"/>
        </w:rPr>
        <w:t>计增</w:t>
      </w:r>
      <w:r>
        <w:rPr>
          <w:rFonts w:hint="eastAsia" w:ascii="仿宋_GB2312" w:eastAsia="仿宋_GB2312"/>
          <w:color w:val="000000"/>
          <w:sz w:val="28"/>
          <w:szCs w:val="28"/>
          <w:lang w:val="en-US" w:eastAsia="zh-CN"/>
        </w:rPr>
        <w:t>可用</w:t>
      </w:r>
      <w:r>
        <w:rPr>
          <w:rFonts w:hint="eastAsia" w:ascii="仿宋_GB2312" w:eastAsia="仿宋_GB2312"/>
          <w:color w:val="000000"/>
          <w:sz w:val="28"/>
          <w:szCs w:val="28"/>
        </w:rPr>
        <w:t>保证金</w:t>
      </w:r>
      <w:r>
        <w:rPr>
          <w:rFonts w:hint="eastAsia" w:ascii="仿宋_GB2312" w:eastAsia="仿宋_GB2312"/>
          <w:color w:val="000000"/>
          <w:sz w:val="28"/>
          <w:szCs w:val="28"/>
          <w:lang w:eastAsia="zh-CN"/>
        </w:rPr>
        <w:t>）</w:t>
      </w:r>
      <w:r>
        <w:rPr>
          <w:rFonts w:hint="eastAsia" w:ascii="仿宋_GB2312" w:eastAsia="仿宋_GB2312"/>
          <w:color w:val="000000"/>
          <w:sz w:val="28"/>
          <w:szCs w:val="28"/>
        </w:rPr>
        <w:t>；</w:t>
      </w:r>
    </w:p>
    <w:p w14:paraId="3FDB6059">
      <w:pPr>
        <w:ind w:firstLine="560" w:firstLineChars="200"/>
        <w:rPr>
          <w:rFonts w:hint="eastAsia" w:ascii="仿宋_GB2312" w:eastAsia="仿宋_GB2312"/>
          <w:color w:val="000000"/>
          <w:sz w:val="28"/>
          <w:szCs w:val="28"/>
        </w:rPr>
      </w:pPr>
      <w:r>
        <w:rPr>
          <w:rFonts w:hint="eastAsia" w:ascii="Times New Roman" w:hAnsi="Times New Roman" w:eastAsia="仿宋_GB2312"/>
          <w:sz w:val="28"/>
          <w:szCs w:val="28"/>
          <w:lang w:val="en-US" w:eastAsia="zh-CN"/>
        </w:rPr>
        <w:t>5</w:t>
      </w:r>
      <w:r>
        <w:rPr>
          <w:rFonts w:hint="eastAsia" w:ascii="Times New Roman" w:hAnsi="Times New Roman" w:eastAsia="仿宋_GB2312"/>
          <w:sz w:val="28"/>
          <w:szCs w:val="28"/>
        </w:rPr>
        <w:t>.</w:t>
      </w:r>
      <w:r>
        <w:rPr>
          <w:rFonts w:hint="eastAsia" w:ascii="仿宋_GB2312" w:eastAsia="仿宋_GB2312"/>
          <w:color w:val="000000"/>
          <w:sz w:val="28"/>
          <w:szCs w:val="28"/>
        </w:rPr>
        <w:t>备兑开仓：增加义务仓头寸，锁定标的证券，计增权利金；</w:t>
      </w:r>
    </w:p>
    <w:p w14:paraId="504C3F93">
      <w:pPr>
        <w:ind w:firstLine="560" w:firstLineChars="200"/>
        <w:rPr>
          <w:rFonts w:ascii="仿宋_GB2312" w:eastAsia="仿宋_GB2312"/>
          <w:color w:val="000000"/>
          <w:sz w:val="28"/>
          <w:szCs w:val="28"/>
        </w:rPr>
      </w:pPr>
      <w:r>
        <w:rPr>
          <w:rFonts w:hint="eastAsia" w:ascii="Times New Roman" w:hAnsi="Times New Roman" w:eastAsia="仿宋_GB2312"/>
          <w:sz w:val="28"/>
          <w:szCs w:val="28"/>
          <w:lang w:val="en-US" w:eastAsia="zh-CN"/>
        </w:rPr>
        <w:t>6</w:t>
      </w:r>
      <w:r>
        <w:rPr>
          <w:rFonts w:hint="eastAsia" w:ascii="Times New Roman" w:hAnsi="Times New Roman" w:eastAsia="仿宋_GB2312"/>
          <w:sz w:val="28"/>
          <w:szCs w:val="28"/>
        </w:rPr>
        <w:t>.</w:t>
      </w:r>
      <w:r>
        <w:rPr>
          <w:rFonts w:hint="eastAsia" w:ascii="仿宋_GB2312" w:eastAsia="仿宋_GB2312"/>
          <w:color w:val="000000"/>
          <w:sz w:val="28"/>
          <w:szCs w:val="28"/>
        </w:rPr>
        <w:t>备兑平仓：减少义务仓头寸，解锁标的证券，计减权利金。</w:t>
      </w:r>
    </w:p>
    <w:p w14:paraId="2E3FD575">
      <w:pPr>
        <w:ind w:firstLine="560" w:firstLineChars="200"/>
        <w:rPr>
          <w:rFonts w:ascii="仿宋_GB2312" w:eastAsia="仿宋_GB2312"/>
          <w:color w:val="000000"/>
          <w:sz w:val="28"/>
          <w:szCs w:val="28"/>
        </w:rPr>
      </w:pPr>
      <w:r>
        <w:rPr>
          <w:rFonts w:hint="eastAsia" w:ascii="仿宋_GB2312" w:eastAsia="仿宋_GB2312"/>
          <w:color w:val="000000"/>
          <w:sz w:val="28"/>
          <w:szCs w:val="28"/>
        </w:rPr>
        <w:t>在交易时段，期货公司客户可对同一</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期权合约进行双向持仓（可同时持有权利仓与义务仓）。日终清算时，期货公司应对客户的双向头寸自动进行对冲（取净头寸，优先对冲非备兑义务仓</w:t>
      </w:r>
      <w:r>
        <w:rPr>
          <w:rFonts w:hint="eastAsia" w:ascii="仿宋_GB2312" w:eastAsia="仿宋_GB2312"/>
          <w:sz w:val="28"/>
          <w:szCs w:val="28"/>
        </w:rPr>
        <w:t>，组合策略持仓除外</w:t>
      </w:r>
      <w:r>
        <w:rPr>
          <w:rFonts w:hint="eastAsia" w:ascii="仿宋_GB2312" w:eastAsia="仿宋_GB2312"/>
          <w:color w:val="000000"/>
          <w:sz w:val="28"/>
          <w:szCs w:val="28"/>
        </w:rPr>
        <w:t>），并调整为单向持仓，并按单向持仓计收维持保证金。</w:t>
      </w:r>
    </w:p>
    <w:p w14:paraId="26E04936">
      <w:pPr>
        <w:ind w:firstLine="560"/>
        <w:rPr>
          <w:rFonts w:hint="eastAsia" w:ascii="Times New Roman" w:hAnsi="Times New Roman" w:eastAsia="黑体"/>
          <w:sz w:val="28"/>
          <w:szCs w:val="28"/>
        </w:rPr>
      </w:pPr>
      <w:bookmarkStart w:id="369" w:name="_Toc23947010"/>
      <w:r>
        <w:rPr>
          <w:rFonts w:hint="eastAsia" w:ascii="Times New Roman" w:hAnsi="Times New Roman" w:eastAsia="黑体"/>
          <w:sz w:val="28"/>
          <w:szCs w:val="28"/>
        </w:rPr>
        <w:t>三、清算后数据对账</w:t>
      </w:r>
      <w:bookmarkEnd w:id="369"/>
    </w:p>
    <w:p w14:paraId="23D18530">
      <w:pPr>
        <w:ind w:firstLine="560" w:firstLineChars="200"/>
        <w:rPr>
          <w:rFonts w:ascii="Times New Roman" w:hAnsi="Times New Roman" w:eastAsia="楷体_GB2312"/>
          <w:b w:val="0"/>
          <w:color w:val="auto"/>
          <w:sz w:val="28"/>
          <w:szCs w:val="28"/>
        </w:rPr>
      </w:pPr>
      <w:r>
        <w:rPr>
          <w:rFonts w:hint="default" w:ascii="Times New Roman" w:hAnsi="Times New Roman" w:eastAsia="楷体_GB2312"/>
          <w:b w:val="0"/>
          <w:color w:val="auto"/>
          <w:sz w:val="28"/>
          <w:szCs w:val="28"/>
        </w:rPr>
        <w:t>（一）合约与证券对账</w:t>
      </w:r>
    </w:p>
    <w:p w14:paraId="5229C2CC">
      <w:pPr>
        <w:ind w:firstLine="560" w:firstLineChars="200"/>
        <w:rPr>
          <w:rFonts w:hint="eastAsia" w:ascii="仿宋_GB2312" w:eastAsia="仿宋_GB2312"/>
          <w:color w:val="000000"/>
          <w:sz w:val="28"/>
          <w:szCs w:val="28"/>
          <w:lang w:eastAsia="zh-CN"/>
        </w:rPr>
      </w:pPr>
      <w:r>
        <w:rPr>
          <w:rFonts w:hint="default" w:ascii="Times New Roman" w:hAnsi="Times New Roman" w:eastAsia="仿宋_GB2312"/>
          <w:sz w:val="28"/>
          <w:szCs w:val="28"/>
        </w:rPr>
        <w:t>1.</w:t>
      </w:r>
      <w:r>
        <w:rPr>
          <w:rFonts w:hint="eastAsia" w:ascii="仿宋_GB2312" w:eastAsia="仿宋_GB2312"/>
          <w:color w:val="000000"/>
          <w:sz w:val="28"/>
          <w:szCs w:val="28"/>
        </w:rPr>
        <w:t>合约对账：期货公司</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期权柜台系统完成交收后，将系统内客户合约持仓数据与根据本所交易记录生成的客户合约持仓数据进行对账</w:t>
      </w:r>
      <w:r>
        <w:rPr>
          <w:rFonts w:hint="eastAsia" w:ascii="仿宋_GB2312" w:hAnsi="Times New Roman" w:eastAsia="仿宋_GB2312"/>
          <w:sz w:val="28"/>
          <w:szCs w:val="28"/>
        </w:rPr>
        <w:t>，不平时需</w:t>
      </w:r>
      <w:r>
        <w:rPr>
          <w:rFonts w:hint="eastAsia" w:ascii="仿宋_GB2312" w:eastAsia="仿宋_GB2312"/>
          <w:color w:val="000000"/>
          <w:sz w:val="28"/>
          <w:szCs w:val="28"/>
        </w:rPr>
        <w:t>及时分析其原因，并做后续处理</w:t>
      </w:r>
      <w:r>
        <w:rPr>
          <w:rFonts w:hint="eastAsia" w:ascii="仿宋_GB2312" w:eastAsia="仿宋_GB2312"/>
          <w:color w:val="000000"/>
          <w:sz w:val="28"/>
          <w:szCs w:val="28"/>
          <w:lang w:eastAsia="zh-CN"/>
        </w:rPr>
        <w:t>。</w:t>
      </w:r>
    </w:p>
    <w:p w14:paraId="4FC899D9">
      <w:pPr>
        <w:ind w:firstLine="560" w:firstLineChars="200"/>
        <w:rPr>
          <w:rFonts w:ascii="仿宋_GB2312" w:eastAsia="仿宋_GB2312"/>
          <w:color w:val="000000"/>
          <w:sz w:val="28"/>
          <w:szCs w:val="28"/>
        </w:rPr>
      </w:pPr>
      <w:r>
        <w:rPr>
          <w:rFonts w:hint="default" w:ascii="Times New Roman" w:hAnsi="Times New Roman" w:eastAsia="仿宋_GB2312"/>
          <w:sz w:val="28"/>
          <w:szCs w:val="28"/>
        </w:rPr>
        <w:t>2.</w:t>
      </w:r>
      <w:r>
        <w:rPr>
          <w:rFonts w:hint="eastAsia" w:ascii="仿宋_GB2312" w:eastAsia="仿宋_GB2312"/>
          <w:color w:val="000000"/>
          <w:sz w:val="28"/>
          <w:szCs w:val="28"/>
        </w:rPr>
        <w:t>标的证券对账：期货公司的备兑证券由证券交易经纪业务柜台系统进行管理。该系统完成交收后，期货公司将该系统标的证券持仓数据与中国结算上海分公司发送的股份余额数据进行对账，不平时需及时分析其原因，并做后续处理。</w:t>
      </w:r>
    </w:p>
    <w:p w14:paraId="56F715B3">
      <w:pPr>
        <w:ind w:firstLine="560" w:firstLineChars="200"/>
        <w:rPr>
          <w:rFonts w:ascii="Times New Roman" w:hAnsi="Times New Roman" w:eastAsia="楷体_GB2312"/>
          <w:b w:val="0"/>
          <w:color w:val="auto"/>
          <w:sz w:val="28"/>
          <w:szCs w:val="28"/>
        </w:rPr>
      </w:pPr>
      <w:r>
        <w:rPr>
          <w:rFonts w:hint="default" w:ascii="Times New Roman" w:hAnsi="Times New Roman" w:eastAsia="楷体_GB2312"/>
          <w:b w:val="0"/>
          <w:color w:val="auto"/>
          <w:sz w:val="28"/>
          <w:szCs w:val="28"/>
        </w:rPr>
        <w:t>（二）资金对账</w:t>
      </w:r>
    </w:p>
    <w:p w14:paraId="5E6D3FDD">
      <w:pPr>
        <w:ind w:firstLine="560" w:firstLineChars="200"/>
        <w:rPr>
          <w:rFonts w:ascii="仿宋_GB2312" w:eastAsia="仿宋_GB2312"/>
          <w:color w:val="000000"/>
          <w:sz w:val="28"/>
          <w:szCs w:val="28"/>
        </w:rPr>
      </w:pPr>
      <w:r>
        <w:rPr>
          <w:rFonts w:hint="default" w:ascii="Times New Roman" w:hAnsi="Times New Roman" w:eastAsia="仿宋_GB2312"/>
          <w:sz w:val="28"/>
          <w:szCs w:val="28"/>
        </w:rPr>
        <w:t>1.</w:t>
      </w:r>
      <w:r>
        <w:rPr>
          <w:rFonts w:hint="eastAsia" w:ascii="仿宋_GB2312" w:eastAsia="仿宋_GB2312"/>
          <w:color w:val="000000"/>
          <w:sz w:val="28"/>
          <w:szCs w:val="28"/>
        </w:rPr>
        <w:t>银行头寸账实核对：每日清算完成后，期货公司将法人结算系统的</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期权银行簿记余额与银行实头寸核对，不平时需及时分析其原因，并做后续处理。</w:t>
      </w:r>
    </w:p>
    <w:p w14:paraId="4DB24DC7">
      <w:pPr>
        <w:ind w:firstLine="560" w:firstLineChars="200"/>
        <w:rPr>
          <w:rFonts w:ascii="仿宋_GB2312" w:eastAsia="仿宋_GB2312"/>
          <w:color w:val="000000"/>
          <w:sz w:val="28"/>
          <w:szCs w:val="28"/>
        </w:rPr>
      </w:pPr>
      <w:r>
        <w:rPr>
          <w:rFonts w:hint="default" w:ascii="Times New Roman" w:hAnsi="Times New Roman" w:eastAsia="仿宋_GB2312"/>
          <w:sz w:val="28"/>
          <w:szCs w:val="28"/>
        </w:rPr>
        <w:t>2.</w:t>
      </w:r>
      <w:r>
        <w:rPr>
          <w:rFonts w:hint="eastAsia" w:ascii="仿宋_GB2312" w:eastAsia="仿宋_GB2312"/>
          <w:color w:val="000000"/>
          <w:sz w:val="28"/>
          <w:szCs w:val="28"/>
        </w:rPr>
        <w:t>中国结算保证金头寸账实核对：每日清算完成后，期货公司将法人结算系统的中国结算上海分公司股票期权保证金簿记余额与中国结算上海分公司的股票期权保证金账户的实头寸核对，做到账实相符</w:t>
      </w:r>
      <w:r>
        <w:rPr>
          <w:rFonts w:hint="eastAsia" w:ascii="仿宋_GB2312" w:hAnsi="Times New Roman" w:eastAsia="仿宋_GB2312"/>
          <w:sz w:val="28"/>
          <w:szCs w:val="28"/>
        </w:rPr>
        <w:t>，不平时需及时分析其原因，并做后续处理</w:t>
      </w:r>
      <w:r>
        <w:rPr>
          <w:rFonts w:hint="eastAsia" w:ascii="仿宋_GB2312" w:eastAsia="仿宋_GB2312"/>
          <w:color w:val="000000"/>
          <w:sz w:val="28"/>
          <w:szCs w:val="28"/>
        </w:rPr>
        <w:t>。</w:t>
      </w:r>
    </w:p>
    <w:p w14:paraId="17F949B9">
      <w:pPr>
        <w:ind w:firstLine="560"/>
        <w:rPr>
          <w:rFonts w:hint="eastAsia" w:ascii="Times New Roman" w:hAnsi="Times New Roman" w:eastAsia="黑体"/>
          <w:sz w:val="28"/>
          <w:szCs w:val="28"/>
        </w:rPr>
      </w:pPr>
      <w:bookmarkStart w:id="370" w:name="_Toc23947011"/>
      <w:r>
        <w:rPr>
          <w:rFonts w:hint="eastAsia" w:ascii="Times New Roman" w:hAnsi="Times New Roman" w:eastAsia="黑体"/>
          <w:sz w:val="28"/>
          <w:szCs w:val="28"/>
        </w:rPr>
        <w:t>四、日常交易交收</w:t>
      </w:r>
      <w:bookmarkEnd w:id="370"/>
    </w:p>
    <w:p w14:paraId="14018074">
      <w:pPr>
        <w:ind w:firstLine="560" w:firstLineChars="200"/>
        <w:rPr>
          <w:rFonts w:ascii="仿宋_GB2312" w:eastAsia="仿宋_GB2312"/>
          <w:color w:val="000000"/>
          <w:sz w:val="28"/>
          <w:szCs w:val="28"/>
        </w:rPr>
      </w:pPr>
      <w:r>
        <w:rPr>
          <w:rFonts w:hint="eastAsia" w:ascii="仿宋_GB2312" w:eastAsia="仿宋_GB2312"/>
          <w:color w:val="000000"/>
          <w:sz w:val="28"/>
          <w:szCs w:val="28"/>
        </w:rPr>
        <w:t>T日日终，期货公司根据柜台系统清算结果，首先释放每个客户股票期权保证金账户内未平仓合约的维持保证金</w:t>
      </w:r>
      <w:r>
        <w:rPr>
          <w:rFonts w:ascii="Times New Roman" w:hAnsi="Times New Roman" w:eastAsia="仿宋_GB2312"/>
          <w:sz w:val="28"/>
          <w:szCs w:val="28"/>
        </w:rPr>
        <w:t>，</w:t>
      </w:r>
      <w:r>
        <w:rPr>
          <w:rFonts w:hint="eastAsia" w:ascii="仿宋_GB2312" w:eastAsia="仿宋_GB2312"/>
          <w:color w:val="000000"/>
          <w:sz w:val="28"/>
          <w:szCs w:val="28"/>
        </w:rPr>
        <w:t>再以单个客户股票期权保证金账户为单位根据资金净应收/付金额完成股票期权交易的资金交收，相应增加或减少客户股票期权保证金账户的资金余额，相应增加或减少客户衍生品合约账户的合约持仓，相应冻结或解冻客户备兑开平仓对应的标的证券</w:t>
      </w:r>
      <w:r>
        <w:rPr>
          <w:rFonts w:ascii="Times New Roman" w:hAnsi="Times New Roman" w:eastAsia="仿宋_GB2312"/>
          <w:sz w:val="28"/>
          <w:szCs w:val="28"/>
        </w:rPr>
        <w:t>，</w:t>
      </w:r>
      <w:r>
        <w:rPr>
          <w:rFonts w:hint="eastAsia" w:ascii="仿宋_GB2312" w:hAnsi="Times New Roman" w:eastAsia="仿宋_GB2312"/>
          <w:sz w:val="28"/>
          <w:szCs w:val="28"/>
        </w:rPr>
        <w:t>再根据当日结算价重新冻结维持保证金</w:t>
      </w:r>
      <w:r>
        <w:rPr>
          <w:rFonts w:hint="eastAsia" w:ascii="仿宋_GB2312" w:eastAsia="仿宋_GB2312"/>
          <w:color w:val="000000"/>
          <w:sz w:val="28"/>
          <w:szCs w:val="28"/>
        </w:rPr>
        <w:t>。处于锁定状态的备兑备用证券，当日未用于备兑开仓的，当日18：00后（以系统实际处理时间为准）自动解除锁定。</w:t>
      </w:r>
    </w:p>
    <w:p w14:paraId="620382F6">
      <w:pPr>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结算的具体内容，详见中国结算发布的《中国证券登记结算有限责任公司关于上海证券交易所股票期权试点结算规则》。 </w:t>
      </w:r>
    </w:p>
    <w:p w14:paraId="314BDA42">
      <w:pPr>
        <w:spacing w:beforeLines="50" w:afterLines="50" w:line="360" w:lineRule="auto"/>
        <w:jc w:val="center"/>
        <w:outlineLvl w:val="0"/>
        <w:rPr>
          <w:rFonts w:ascii="仿宋_GB2312" w:hAnsi="Times New Roman" w:eastAsia="仿宋_GB2312"/>
          <w:b/>
          <w:bCs/>
          <w:sz w:val="28"/>
          <w:szCs w:val="28"/>
        </w:rPr>
      </w:pPr>
    </w:p>
    <w:p w14:paraId="6A4C74F5">
      <w:pPr>
        <w:spacing w:before="156" w:beforeLines="50" w:after="156" w:afterLines="50"/>
        <w:jc w:val="center"/>
        <w:outlineLvl w:val="0"/>
        <w:rPr>
          <w:rFonts w:ascii="黑体" w:hAnsi="黑体" w:eastAsia="黑体"/>
          <w:sz w:val="32"/>
        </w:rPr>
      </w:pPr>
      <w:r>
        <w:rPr>
          <w:rFonts w:hint="eastAsia" w:ascii="仿宋_GB2312" w:hAnsi="Times New Roman"/>
          <w:szCs w:val="28"/>
        </w:rPr>
        <w:br w:type="page"/>
      </w:r>
      <w:bookmarkStart w:id="371" w:name="_Toc23947012"/>
      <w:bookmarkStart w:id="372" w:name="_Toc15408"/>
      <w:bookmarkStart w:id="373" w:name="_Toc9945"/>
      <w:bookmarkStart w:id="374" w:name="_Toc3426"/>
      <w:bookmarkStart w:id="375" w:name="_Toc408746754"/>
      <w:bookmarkStart w:id="376" w:name="_Toc20220"/>
      <w:r>
        <w:rPr>
          <w:rFonts w:hint="default" w:ascii="Times New Roman" w:hAnsi="Times New Roman" w:eastAsia="黑体"/>
          <w:b/>
          <w:bCs/>
          <w:sz w:val="32"/>
          <w:szCs w:val="32"/>
        </w:rPr>
        <w:t>第十二章 投资者数据报备</w:t>
      </w:r>
      <w:bookmarkEnd w:id="371"/>
      <w:bookmarkEnd w:id="372"/>
      <w:bookmarkEnd w:id="373"/>
      <w:bookmarkEnd w:id="374"/>
      <w:bookmarkEnd w:id="375"/>
      <w:bookmarkEnd w:id="376"/>
    </w:p>
    <w:p w14:paraId="2FBD8F95">
      <w:pPr>
        <w:ind w:firstLine="560" w:firstLineChars="20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期货公司应在每个交易日收盘之后至16:30之前向</w:t>
      </w:r>
      <w:r>
        <w:rPr>
          <w:rFonts w:hint="eastAsia" w:ascii="仿宋_GB2312" w:hAnsi="Times New Roman" w:eastAsia="仿宋_GB2312"/>
          <w:kern w:val="0"/>
          <w:sz w:val="28"/>
          <w:szCs w:val="28"/>
          <w:lang w:val="en-US" w:eastAsia="zh-CN"/>
        </w:rPr>
        <w:t>本所</w:t>
      </w:r>
      <w:r>
        <w:rPr>
          <w:rFonts w:hint="eastAsia" w:ascii="仿宋_GB2312" w:hAnsi="Times New Roman" w:eastAsia="仿宋_GB2312"/>
          <w:kern w:val="0"/>
          <w:sz w:val="28"/>
          <w:szCs w:val="28"/>
          <w:lang w:val="zh-CN"/>
        </w:rPr>
        <w:t>报备所有客户相关信息，包括可买入额度、资金相关信息（主要用于</w:t>
      </w:r>
      <w:r>
        <w:rPr>
          <w:rFonts w:hint="eastAsia" w:ascii="仿宋_GB2312" w:hAnsi="Times New Roman" w:eastAsia="仿宋_GB2312"/>
          <w:sz w:val="28"/>
          <w:szCs w:val="28"/>
          <w:lang w:val="en-US" w:eastAsia="zh-CN"/>
        </w:rPr>
        <w:t>本所</w:t>
      </w:r>
      <w:r>
        <w:rPr>
          <w:rFonts w:hint="eastAsia" w:ascii="仿宋_GB2312" w:hAnsi="Times New Roman" w:eastAsia="仿宋_GB2312"/>
          <w:kern w:val="0"/>
          <w:sz w:val="28"/>
          <w:szCs w:val="28"/>
          <w:lang w:val="zh-CN"/>
        </w:rPr>
        <w:t xml:space="preserve">风险控制需要，包括风险压力测试等）等。 </w:t>
      </w:r>
    </w:p>
    <w:p w14:paraId="27C7E370">
      <w:pPr>
        <w:ind w:firstLine="560" w:firstLineChars="20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数据报备内容：日期、期权经营机构代码、期权经营机构名称、业务交易单元号、营业部代码、合约账户、对应沪市证券账户、对应沪市E账户、当日衍生品资金账户保证金总额（结算前数据）、当日资金划入划出净额（日间转账数据）、上一交易日衍生品可用保证金余额、上一交易日沪市衍生品维持保证金金额（按期权经营机构保证金水平计算的）、上一交易日衍生品合约市值权益（含沪深）、上一交易日证券市值总额（不含港股通、B股外的所有证券市值，持有证券按收盘价计算）、上一交易日证券资金账户可用资金余额、当日分级级别（自然人账户需填写）、当日可买入额度。上一交易日是指结算后的相关数据。具体见技</w:t>
      </w:r>
      <w:bookmarkStart w:id="377" w:name="_Toc406418251"/>
      <w:r>
        <w:rPr>
          <w:rFonts w:hint="eastAsia" w:ascii="仿宋_GB2312" w:hAnsi="Times New Roman" w:eastAsia="仿宋_GB2312"/>
          <w:kern w:val="0"/>
          <w:sz w:val="28"/>
          <w:szCs w:val="28"/>
          <w:lang w:val="zh-CN"/>
        </w:rPr>
        <w:t>术接口说明书。</w:t>
      </w:r>
    </w:p>
    <w:p w14:paraId="1D088F8C">
      <w:pPr>
        <w:ind w:firstLine="560" w:firstLineChars="20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相关指标计算公式如下：</w:t>
      </w:r>
    </w:p>
    <w:bookmarkEnd w:id="377"/>
    <w:p w14:paraId="45FC57D4">
      <w:pPr>
        <w:ind w:firstLine="560" w:firstLineChars="200"/>
        <w:rPr>
          <w:rFonts w:ascii="仿宋_GB2312" w:hAnsi="Times New Roman" w:eastAsia="仿宋_GB2312"/>
          <w:kern w:val="0"/>
          <w:sz w:val="28"/>
          <w:szCs w:val="28"/>
          <w:lang w:val="zh-CN"/>
        </w:rPr>
      </w:pPr>
      <w:r>
        <w:rPr>
          <w:rFonts w:hint="default" w:ascii="Times New Roman" w:hAnsi="Times New Roman" w:eastAsia="仿宋_GB2312"/>
          <w:kern w:val="2"/>
          <w:sz w:val="28"/>
          <w:szCs w:val="28"/>
          <w:lang w:val="en-US"/>
        </w:rPr>
        <w:t>1.</w:t>
      </w:r>
      <w:r>
        <w:rPr>
          <w:rFonts w:hint="eastAsia" w:ascii="仿宋_GB2312" w:hAnsi="Times New Roman" w:eastAsia="仿宋_GB2312"/>
          <w:kern w:val="0"/>
          <w:sz w:val="28"/>
          <w:szCs w:val="28"/>
          <w:lang w:val="zh-CN"/>
        </w:rPr>
        <w:t>当日资金划入划出净额=当日总资金划入金额-当日总资金划出金额。</w:t>
      </w:r>
    </w:p>
    <w:p w14:paraId="18C96206">
      <w:pPr>
        <w:ind w:firstLine="560" w:firstLineChars="200"/>
        <w:rPr>
          <w:rFonts w:ascii="仿宋_GB2312" w:hAnsi="Times New Roman" w:eastAsia="仿宋_GB2312"/>
          <w:kern w:val="0"/>
          <w:sz w:val="28"/>
          <w:szCs w:val="28"/>
          <w:lang w:val="zh-CN"/>
        </w:rPr>
      </w:pPr>
      <w:r>
        <w:rPr>
          <w:rFonts w:hint="eastAsia" w:ascii="仿宋_GB2312" w:hAnsi="Times New Roman" w:eastAsia="仿宋_GB2312"/>
          <w:kern w:val="0"/>
          <w:sz w:val="28"/>
          <w:szCs w:val="28"/>
          <w:lang w:val="zh-CN"/>
        </w:rPr>
        <w:t>涉及多家银行的应合并计算。</w:t>
      </w:r>
    </w:p>
    <w:p w14:paraId="7ACC944D">
      <w:pPr>
        <w:numPr>
          <w:ilvl w:val="0"/>
          <w:numId w:val="0"/>
        </w:numPr>
        <w:ind w:firstLine="560" w:firstLineChars="200"/>
        <w:rPr>
          <w:rFonts w:ascii="仿宋_GB2312" w:hAnsi="Times New Roman" w:eastAsia="仿宋_GB2312"/>
          <w:kern w:val="0"/>
          <w:sz w:val="28"/>
          <w:szCs w:val="28"/>
          <w:lang w:val="zh-CN"/>
        </w:rPr>
      </w:pPr>
      <w:r>
        <w:rPr>
          <w:rFonts w:hint="eastAsia" w:ascii="Times New Roman" w:hAnsi="Times New Roman" w:eastAsia="仿宋_GB2312"/>
          <w:kern w:val="2"/>
          <w:sz w:val="28"/>
          <w:szCs w:val="28"/>
          <w:lang w:val="en-US" w:eastAsia="zh-CN"/>
        </w:rPr>
        <w:t>2</w:t>
      </w:r>
      <w:r>
        <w:rPr>
          <w:rFonts w:hint="default" w:ascii="Times New Roman" w:hAnsi="Times New Roman" w:eastAsia="仿宋_GB2312"/>
          <w:kern w:val="2"/>
          <w:sz w:val="28"/>
          <w:szCs w:val="28"/>
          <w:lang w:val="en-US"/>
        </w:rPr>
        <w:t>.</w:t>
      </w:r>
      <w:r>
        <w:rPr>
          <w:rFonts w:hint="eastAsia" w:ascii="仿宋_GB2312" w:hAnsi="Times New Roman" w:eastAsia="仿宋_GB2312"/>
          <w:kern w:val="0"/>
          <w:sz w:val="28"/>
          <w:szCs w:val="28"/>
          <w:lang w:val="zh-CN"/>
        </w:rPr>
        <w:t>衍生品合约市值权益=∑（当日合约结算价</w:t>
      </w:r>
      <w:r>
        <w:rPr>
          <w:rFonts w:ascii="Times New Roman" w:hAnsi="Times New Roman" w:eastAsia="仿宋_GB2312"/>
          <w:sz w:val="28"/>
          <w:szCs w:val="28"/>
        </w:rPr>
        <w:t>×</w:t>
      </w:r>
      <w:r>
        <w:rPr>
          <w:rFonts w:hint="eastAsia" w:ascii="仿宋_GB2312" w:hAnsi="Times New Roman" w:eastAsia="仿宋_GB2312"/>
          <w:kern w:val="0"/>
          <w:sz w:val="28"/>
          <w:szCs w:val="28"/>
          <w:lang w:val="zh-CN"/>
        </w:rPr>
        <w:t>权利仓张数</w:t>
      </w:r>
      <w:r>
        <w:rPr>
          <w:rFonts w:ascii="Times New Roman" w:hAnsi="Times New Roman" w:eastAsia="仿宋_GB2312"/>
          <w:sz w:val="28"/>
          <w:szCs w:val="28"/>
        </w:rPr>
        <w:t>×</w:t>
      </w:r>
      <w:r>
        <w:rPr>
          <w:rFonts w:hint="eastAsia" w:ascii="仿宋_GB2312" w:hAnsi="Times New Roman" w:eastAsia="仿宋_GB2312"/>
          <w:kern w:val="0"/>
          <w:sz w:val="28"/>
          <w:szCs w:val="28"/>
          <w:lang w:val="zh-CN"/>
        </w:rPr>
        <w:t>合约单位）-∑（当日合约结算价</w:t>
      </w:r>
      <w:r>
        <w:rPr>
          <w:rFonts w:ascii="Times New Roman" w:hAnsi="Times New Roman" w:eastAsia="仿宋_GB2312"/>
          <w:sz w:val="28"/>
          <w:szCs w:val="28"/>
        </w:rPr>
        <w:t>×</w:t>
      </w:r>
      <w:r>
        <w:rPr>
          <w:rFonts w:hint="eastAsia" w:ascii="仿宋_GB2312" w:hAnsi="Times New Roman" w:eastAsia="仿宋_GB2312"/>
          <w:kern w:val="0"/>
          <w:sz w:val="28"/>
          <w:szCs w:val="28"/>
          <w:lang w:val="zh-CN"/>
        </w:rPr>
        <w:t>义务仓张数（含备兑）</w:t>
      </w:r>
      <w:r>
        <w:rPr>
          <w:rFonts w:ascii="Times New Roman" w:hAnsi="Times New Roman" w:eastAsia="仿宋_GB2312"/>
          <w:sz w:val="28"/>
          <w:szCs w:val="28"/>
        </w:rPr>
        <w:t>×</w:t>
      </w:r>
      <w:r>
        <w:rPr>
          <w:rFonts w:hint="eastAsia" w:ascii="仿宋_GB2312" w:hAnsi="Times New Roman" w:eastAsia="仿宋_GB2312"/>
          <w:kern w:val="0"/>
          <w:sz w:val="28"/>
          <w:szCs w:val="28"/>
          <w:lang w:val="zh-CN"/>
        </w:rPr>
        <w:t>合约单位）。按所持有合约汇总。单位：元，保留两位小数。</w:t>
      </w:r>
    </w:p>
    <w:p w14:paraId="7821F129">
      <w:pPr>
        <w:rPr>
          <w:rFonts w:ascii="仿宋_GB2312" w:hAnsi="Times New Roman" w:eastAsia="仿宋_GB2312" w:cs="仿宋_GB2312"/>
          <w:kern w:val="0"/>
          <w:sz w:val="28"/>
          <w:szCs w:val="28"/>
        </w:rPr>
      </w:pPr>
      <w:r>
        <w:rPr>
          <w:rFonts w:hint="eastAsia" w:ascii="仿宋_GB2312" w:hAnsi="Times New Roman" w:eastAsia="仿宋_GB2312"/>
          <w:kern w:val="0"/>
          <w:sz w:val="28"/>
          <w:szCs w:val="28"/>
        </w:rPr>
        <w:t xml:space="preserve">  </w:t>
      </w:r>
      <w:r>
        <w:rPr>
          <w:rFonts w:hint="eastAsia" w:ascii="仿宋_GB2312" w:hAnsi="Times New Roman" w:eastAsia="仿宋_GB2312" w:cs="仿宋_GB2312"/>
          <w:kern w:val="0"/>
          <w:sz w:val="28"/>
          <w:szCs w:val="28"/>
        </w:rPr>
        <w:t>期权经营机构务必保证报备的营业部代码与每日日终投资者数据报备文件中的营业部代码保持一致。如需要调整营业部代码，请通过邮箱重新报备（全量）数据。</w:t>
      </w:r>
    </w:p>
    <w:p w14:paraId="38E68DAE">
      <w:pPr>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 xml:space="preserve">联系邮箱： </w:t>
      </w:r>
      <w:r>
        <w:fldChar w:fldCharType="begin"/>
      </w:r>
      <w:r>
        <w:instrText xml:space="preserve"> HYPERLINK "mailto:Riskdispose01@sse.com.cn" </w:instrText>
      </w:r>
      <w:r>
        <w:fldChar w:fldCharType="separate"/>
      </w:r>
      <w:r>
        <w:rPr>
          <w:rFonts w:hint="eastAsia" w:ascii="Times New Roman" w:hAnsi="Times New Roman" w:eastAsia="仿宋_GB2312"/>
          <w:sz w:val="28"/>
          <w:szCs w:val="28"/>
          <w:lang w:val="en-US" w:eastAsia="zh-CN"/>
        </w:rPr>
        <w:t>r</w:t>
      </w:r>
      <w:r>
        <w:rPr>
          <w:rFonts w:hint="eastAsia"/>
          <w:sz w:val="28"/>
          <w:szCs w:val="28"/>
        </w:rPr>
        <w:t>iskdispose01@sse.com.cn</w:t>
      </w:r>
      <w:r>
        <w:rPr>
          <w:rFonts w:hint="eastAsia"/>
          <w:sz w:val="28"/>
          <w:szCs w:val="28"/>
        </w:rPr>
        <w:fldChar w:fldCharType="end"/>
      </w:r>
      <w:r>
        <w:rPr>
          <w:rFonts w:hint="eastAsia" w:ascii="仿宋_GB2312" w:hAnsi="Times New Roman" w:eastAsia="仿宋_GB2312" w:cs="仿宋_GB2312"/>
          <w:kern w:val="0"/>
          <w:sz w:val="28"/>
          <w:szCs w:val="28"/>
        </w:rPr>
        <w:t>。</w:t>
      </w:r>
    </w:p>
    <w:p w14:paraId="1FE2F002">
      <w:pPr>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期权经营机构需加强对每日日终投资者数据文件报送的管理，确保报送数据的及时性和准确性。本所将定期对报送文件进行核查，若发现有错报或漏报的情况，将视情况采取相关的监管措施。</w:t>
      </w:r>
    </w:p>
    <w:p w14:paraId="054263C2">
      <w:pPr>
        <w:rPr>
          <w:rFonts w:ascii="仿宋_GB2312" w:eastAsia="仿宋_GB2312"/>
          <w:sz w:val="28"/>
          <w:szCs w:val="28"/>
        </w:rPr>
      </w:pPr>
      <w:r>
        <w:rPr>
          <w:rFonts w:hint="eastAsia" w:ascii="仿宋_GB2312" w:eastAsia="仿宋_GB2312"/>
          <w:sz w:val="28"/>
          <w:szCs w:val="28"/>
        </w:rPr>
        <w:t xml:space="preserve">    此外，期货公司每周一17:00前通过</w:t>
      </w:r>
      <w:r>
        <w:rPr>
          <w:rFonts w:hint="default" w:ascii="Times New Roman" w:hAnsi="Times New Roman" w:eastAsia="仿宋_GB2312"/>
          <w:sz w:val="28"/>
          <w:szCs w:val="28"/>
        </w:rPr>
        <w:t>一网通办会员机构门户</w:t>
      </w:r>
      <w:r>
        <w:rPr>
          <w:rFonts w:hint="eastAsia" w:ascii="仿宋_GB2312" w:eastAsia="仿宋_GB2312"/>
          <w:sz w:val="28"/>
          <w:szCs w:val="28"/>
        </w:rPr>
        <w:t>向本所报备持仓限额情况。</w:t>
      </w:r>
    </w:p>
    <w:p w14:paraId="73EB8C84">
      <w:pPr>
        <w:ind w:firstLine="560" w:firstLineChars="200"/>
        <w:rPr>
          <w:rFonts w:ascii="仿宋_GB2312" w:hAnsi="Times New Roman" w:eastAsia="仿宋_GB2312" w:cs="仿宋_GB2312"/>
          <w:kern w:val="0"/>
          <w:sz w:val="28"/>
          <w:szCs w:val="28"/>
        </w:rPr>
      </w:pPr>
    </w:p>
    <w:p w14:paraId="5F06B7F0">
      <w:pPr>
        <w:rPr>
          <w:rFonts w:ascii="仿宋_GB2312" w:eastAsia="仿宋_GB2312"/>
          <w:bCs/>
          <w:sz w:val="28"/>
          <w:szCs w:val="28"/>
        </w:rPr>
      </w:pPr>
    </w:p>
    <w:p w14:paraId="3934BA2F">
      <w:pPr>
        <w:widowControl/>
        <w:jc w:val="left"/>
        <w:rPr>
          <w:rFonts w:ascii="仿宋_GB2312" w:hAnsi="Times New Roman" w:eastAsia="仿宋_GB2312"/>
          <w:kern w:val="0"/>
          <w:sz w:val="28"/>
          <w:szCs w:val="28"/>
          <w:lang w:val="zh-CN"/>
        </w:rPr>
      </w:pPr>
    </w:p>
    <w:p w14:paraId="75E567CB">
      <w:pPr>
        <w:widowControl/>
        <w:jc w:val="left"/>
        <w:rPr>
          <w:rFonts w:ascii="仿宋_GB2312" w:hAnsi="Times New Roman" w:eastAsia="仿宋_GB2312"/>
          <w:kern w:val="0"/>
          <w:sz w:val="28"/>
          <w:szCs w:val="28"/>
          <w:lang w:val="zh-CN"/>
        </w:rPr>
      </w:pPr>
    </w:p>
    <w:p w14:paraId="13B4807D">
      <w:pPr>
        <w:widowControl/>
        <w:jc w:val="left"/>
        <w:rPr>
          <w:rFonts w:ascii="仿宋_GB2312" w:hAnsi="Times New Roman" w:eastAsia="仿宋_GB2312"/>
          <w:kern w:val="0"/>
          <w:sz w:val="28"/>
          <w:szCs w:val="28"/>
          <w:lang w:val="zh-CN"/>
        </w:rPr>
      </w:pPr>
    </w:p>
    <w:p w14:paraId="042883BD">
      <w:pPr>
        <w:widowControl/>
        <w:jc w:val="left"/>
        <w:rPr>
          <w:rFonts w:ascii="仿宋_GB2312" w:hAnsi="Times New Roman" w:eastAsia="仿宋_GB2312"/>
          <w:kern w:val="0"/>
          <w:sz w:val="28"/>
          <w:szCs w:val="28"/>
          <w:lang w:val="zh-CN"/>
        </w:rPr>
      </w:pPr>
    </w:p>
    <w:p w14:paraId="54DBB4A7">
      <w:pPr>
        <w:widowControl/>
        <w:jc w:val="left"/>
        <w:rPr>
          <w:rFonts w:ascii="仿宋_GB2312" w:hAnsi="Times New Roman" w:eastAsia="仿宋_GB2312"/>
          <w:kern w:val="0"/>
          <w:sz w:val="28"/>
          <w:szCs w:val="28"/>
          <w:lang w:val="zh-CN"/>
        </w:rPr>
      </w:pPr>
    </w:p>
    <w:p w14:paraId="6B39BBE8">
      <w:pPr>
        <w:widowControl/>
        <w:jc w:val="left"/>
        <w:rPr>
          <w:rFonts w:ascii="仿宋_GB2312" w:hAnsi="Times New Roman" w:eastAsia="仿宋_GB2312"/>
          <w:kern w:val="0"/>
          <w:sz w:val="28"/>
          <w:szCs w:val="28"/>
          <w:lang w:val="zh-CN"/>
        </w:rPr>
      </w:pPr>
    </w:p>
    <w:p w14:paraId="3E50AD1B">
      <w:pPr>
        <w:widowControl/>
        <w:jc w:val="left"/>
        <w:rPr>
          <w:rFonts w:ascii="仿宋_GB2312" w:hAnsi="Times New Roman" w:eastAsia="仿宋_GB2312"/>
          <w:kern w:val="0"/>
          <w:sz w:val="28"/>
          <w:szCs w:val="28"/>
          <w:lang w:val="zh-CN"/>
        </w:rPr>
      </w:pPr>
    </w:p>
    <w:p w14:paraId="0B11A1A4">
      <w:pPr>
        <w:widowControl/>
        <w:jc w:val="left"/>
        <w:rPr>
          <w:rFonts w:ascii="仿宋_GB2312" w:hAnsi="Times New Roman" w:eastAsia="仿宋_GB2312"/>
          <w:kern w:val="0"/>
          <w:sz w:val="28"/>
          <w:szCs w:val="28"/>
          <w:lang w:val="zh-CN"/>
        </w:rPr>
      </w:pPr>
    </w:p>
    <w:p w14:paraId="589111D2">
      <w:pPr>
        <w:widowControl/>
        <w:jc w:val="left"/>
        <w:rPr>
          <w:rFonts w:ascii="仿宋_GB2312" w:hAnsi="Times New Roman" w:eastAsia="仿宋_GB2312"/>
          <w:kern w:val="0"/>
          <w:sz w:val="28"/>
          <w:szCs w:val="28"/>
          <w:lang w:val="zh-CN"/>
        </w:rPr>
      </w:pPr>
    </w:p>
    <w:p w14:paraId="79A08D51">
      <w:pPr>
        <w:widowControl/>
        <w:jc w:val="left"/>
        <w:rPr>
          <w:rFonts w:ascii="仿宋_GB2312" w:hAnsi="Times New Roman" w:eastAsia="仿宋_GB2312"/>
          <w:kern w:val="0"/>
          <w:sz w:val="28"/>
          <w:szCs w:val="28"/>
          <w:lang w:val="zh-CN"/>
        </w:rPr>
      </w:pPr>
    </w:p>
    <w:p w14:paraId="3FE2CB95">
      <w:pPr>
        <w:widowControl/>
        <w:jc w:val="left"/>
        <w:rPr>
          <w:rFonts w:ascii="仿宋_GB2312" w:hAnsi="Times New Roman" w:eastAsia="仿宋_GB2312"/>
          <w:kern w:val="0"/>
          <w:sz w:val="28"/>
          <w:szCs w:val="28"/>
          <w:lang w:val="zh-CN"/>
        </w:rPr>
      </w:pPr>
    </w:p>
    <w:p w14:paraId="48099625">
      <w:pPr>
        <w:widowControl/>
        <w:jc w:val="left"/>
        <w:rPr>
          <w:rFonts w:ascii="仿宋_GB2312" w:hAnsi="Times New Roman" w:eastAsia="仿宋_GB2312"/>
          <w:kern w:val="0"/>
          <w:sz w:val="28"/>
          <w:szCs w:val="28"/>
          <w:lang w:val="zh-CN"/>
        </w:rPr>
      </w:pPr>
    </w:p>
    <w:p w14:paraId="04892F5F">
      <w:pPr>
        <w:spacing w:before="156" w:beforeLines="50" w:after="156" w:afterLines="50"/>
        <w:jc w:val="center"/>
        <w:outlineLvl w:val="0"/>
        <w:rPr>
          <w:rFonts w:ascii="Times New Roman" w:hAnsi="Times New Roman" w:eastAsia="黑体"/>
          <w:b/>
          <w:bCs/>
          <w:sz w:val="32"/>
          <w:szCs w:val="32"/>
        </w:rPr>
      </w:pPr>
      <w:bookmarkStart w:id="378" w:name="_Toc408746755"/>
      <w:bookmarkStart w:id="379" w:name="_Toc15091"/>
      <w:bookmarkStart w:id="380" w:name="_Toc12624"/>
      <w:bookmarkStart w:id="381" w:name="_Toc23947013"/>
      <w:bookmarkStart w:id="382" w:name="_Toc21596"/>
      <w:bookmarkStart w:id="383" w:name="_Toc3646"/>
      <w:r>
        <w:rPr>
          <w:rFonts w:hint="default" w:ascii="Times New Roman" w:hAnsi="Times New Roman" w:eastAsia="黑体"/>
          <w:b/>
          <w:bCs/>
          <w:sz w:val="32"/>
          <w:szCs w:val="32"/>
        </w:rPr>
        <w:t>第十三章 程序</w:t>
      </w:r>
      <w:r>
        <w:rPr>
          <w:rFonts w:hint="eastAsia" w:ascii="Times New Roman" w:hAnsi="Times New Roman" w:eastAsia="黑体"/>
          <w:b/>
          <w:bCs/>
          <w:sz w:val="32"/>
          <w:szCs w:val="32"/>
          <w:lang w:val="en-US" w:eastAsia="zh-CN"/>
        </w:rPr>
        <w:t>化</w:t>
      </w:r>
      <w:r>
        <w:rPr>
          <w:rFonts w:hint="default" w:ascii="Times New Roman" w:hAnsi="Times New Roman" w:eastAsia="黑体"/>
          <w:b/>
          <w:bCs/>
          <w:sz w:val="32"/>
          <w:szCs w:val="32"/>
        </w:rPr>
        <w:t>交易</w:t>
      </w:r>
      <w:r>
        <w:rPr>
          <w:rFonts w:hint="eastAsia" w:ascii="Times New Roman" w:hAnsi="Times New Roman" w:eastAsia="黑体"/>
          <w:b/>
          <w:bCs/>
          <w:sz w:val="32"/>
          <w:szCs w:val="32"/>
          <w:lang w:val="en-US" w:eastAsia="zh-CN"/>
        </w:rPr>
        <w:t>报告</w:t>
      </w:r>
      <w:bookmarkEnd w:id="378"/>
      <w:bookmarkEnd w:id="379"/>
      <w:bookmarkEnd w:id="380"/>
      <w:bookmarkEnd w:id="381"/>
      <w:bookmarkEnd w:id="382"/>
      <w:bookmarkEnd w:id="383"/>
    </w:p>
    <w:p w14:paraId="17AD5CCF">
      <w:pPr>
        <w:ind w:firstLine="560" w:firstLineChars="200"/>
        <w:rPr>
          <w:rFonts w:ascii="仿宋_GB2312" w:hAnsi="仿宋" w:eastAsia="仿宋_GB2312" w:cs="仿宋_GB2312"/>
          <w:b/>
          <w:sz w:val="30"/>
          <w:szCs w:val="30"/>
        </w:rPr>
      </w:pPr>
      <w:r>
        <w:rPr>
          <w:rFonts w:hint="eastAsia" w:ascii="仿宋_GB2312" w:eastAsia="仿宋_GB2312" w:cs="仿宋_GB2312"/>
          <w:kern w:val="0"/>
          <w:sz w:val="28"/>
          <w:szCs w:val="28"/>
          <w:lang w:val="en-US" w:eastAsia="zh-CN"/>
        </w:rPr>
        <w:t>本所</w:t>
      </w:r>
      <w:r>
        <w:rPr>
          <w:rFonts w:hint="eastAsia" w:ascii="仿宋_GB2312" w:eastAsia="仿宋_GB2312" w:cs="仿宋_GB2312"/>
          <w:kern w:val="0"/>
          <w:sz w:val="28"/>
          <w:szCs w:val="28"/>
          <w:lang w:val="zh-CN"/>
        </w:rPr>
        <w:t>对程序</w:t>
      </w:r>
      <w:r>
        <w:rPr>
          <w:rFonts w:hint="eastAsia" w:ascii="仿宋_GB2312" w:eastAsia="仿宋_GB2312" w:cs="仿宋_GB2312"/>
          <w:kern w:val="0"/>
          <w:sz w:val="28"/>
          <w:szCs w:val="28"/>
          <w:lang w:val="en-US" w:eastAsia="zh-CN"/>
        </w:rPr>
        <w:t>化</w:t>
      </w:r>
      <w:r>
        <w:rPr>
          <w:rFonts w:hint="eastAsia" w:ascii="仿宋_GB2312" w:eastAsia="仿宋_GB2312" w:cs="仿宋_GB2312"/>
          <w:kern w:val="0"/>
          <w:sz w:val="28"/>
          <w:szCs w:val="28"/>
          <w:lang w:val="zh-CN"/>
        </w:rPr>
        <w:t>交易账户实行</w:t>
      </w:r>
      <w:r>
        <w:rPr>
          <w:rFonts w:hint="eastAsia" w:ascii="仿宋_GB2312" w:eastAsia="仿宋_GB2312" w:cs="仿宋_GB2312"/>
          <w:kern w:val="0"/>
          <w:sz w:val="28"/>
          <w:szCs w:val="28"/>
          <w:lang w:val="en-US" w:eastAsia="zh-CN"/>
        </w:rPr>
        <w:t>报告</w:t>
      </w:r>
      <w:r>
        <w:rPr>
          <w:rFonts w:hint="eastAsia" w:ascii="仿宋_GB2312" w:eastAsia="仿宋_GB2312" w:cs="仿宋_GB2312"/>
          <w:kern w:val="0"/>
          <w:sz w:val="28"/>
          <w:szCs w:val="28"/>
          <w:lang w:val="zh-CN"/>
        </w:rPr>
        <w:t>制度，要求期货公司事先向</w:t>
      </w:r>
      <w:r>
        <w:rPr>
          <w:rFonts w:hint="eastAsia" w:ascii="仿宋_GB2312" w:eastAsia="仿宋_GB2312" w:cs="仿宋_GB2312"/>
          <w:kern w:val="0"/>
          <w:sz w:val="28"/>
          <w:szCs w:val="28"/>
          <w:lang w:val="en-US" w:eastAsia="zh-CN"/>
        </w:rPr>
        <w:t>本所</w:t>
      </w:r>
      <w:r>
        <w:rPr>
          <w:rFonts w:hint="eastAsia" w:ascii="仿宋_GB2312" w:eastAsia="仿宋_GB2312" w:cs="仿宋_GB2312"/>
          <w:kern w:val="0"/>
          <w:sz w:val="28"/>
          <w:szCs w:val="28"/>
          <w:lang w:val="zh-CN"/>
        </w:rPr>
        <w:t>上报客户计划使用的程序</w:t>
      </w:r>
      <w:r>
        <w:rPr>
          <w:rFonts w:hint="eastAsia" w:ascii="仿宋_GB2312" w:eastAsia="仿宋_GB2312" w:cs="仿宋_GB2312"/>
          <w:kern w:val="0"/>
          <w:sz w:val="28"/>
          <w:szCs w:val="28"/>
          <w:lang w:val="en-US" w:eastAsia="zh-CN"/>
        </w:rPr>
        <w:t>化</w:t>
      </w:r>
      <w:r>
        <w:rPr>
          <w:rFonts w:hint="eastAsia" w:ascii="仿宋_GB2312" w:eastAsia="仿宋_GB2312" w:cs="仿宋_GB2312"/>
          <w:kern w:val="0"/>
          <w:sz w:val="28"/>
          <w:szCs w:val="28"/>
          <w:lang w:val="zh-CN"/>
        </w:rPr>
        <w:t>交易软件及账户相关信息。期货公司单个、多个账户使用交易软件实现自动下单或者快速下单等功能，即非通过人工界面逐笔或逐个组合操作的，即被视为程序</w:t>
      </w:r>
      <w:r>
        <w:rPr>
          <w:rFonts w:hint="eastAsia" w:ascii="仿宋_GB2312" w:eastAsia="仿宋_GB2312" w:cs="仿宋_GB2312"/>
          <w:kern w:val="0"/>
          <w:sz w:val="28"/>
          <w:szCs w:val="28"/>
          <w:lang w:val="en-US" w:eastAsia="zh-CN"/>
        </w:rPr>
        <w:t>化</w:t>
      </w:r>
      <w:r>
        <w:rPr>
          <w:rFonts w:hint="eastAsia" w:ascii="仿宋_GB2312" w:eastAsia="仿宋_GB2312" w:cs="仿宋_GB2312"/>
          <w:kern w:val="0"/>
          <w:sz w:val="28"/>
          <w:szCs w:val="28"/>
          <w:lang w:val="zh-CN"/>
        </w:rPr>
        <w:t>交易。</w:t>
      </w:r>
    </w:p>
    <w:p w14:paraId="47003125">
      <w:pPr>
        <w:ind w:firstLine="560"/>
        <w:rPr>
          <w:rFonts w:hint="eastAsia" w:ascii="Times New Roman" w:hAnsi="Times New Roman" w:eastAsia="黑体"/>
          <w:kern w:val="0"/>
          <w:sz w:val="28"/>
          <w:szCs w:val="28"/>
        </w:rPr>
      </w:pPr>
      <w:bookmarkStart w:id="384" w:name="_Toc215"/>
      <w:bookmarkStart w:id="385" w:name="_Toc23947014"/>
      <w:r>
        <w:rPr>
          <w:rFonts w:hint="eastAsia" w:ascii="Times New Roman" w:hAnsi="Times New Roman" w:eastAsia="黑体"/>
          <w:kern w:val="0"/>
          <w:sz w:val="28"/>
          <w:szCs w:val="28"/>
        </w:rPr>
        <w:t>一、程序</w:t>
      </w:r>
      <w:r>
        <w:rPr>
          <w:rFonts w:hint="eastAsia" w:ascii="Times New Roman" w:hAnsi="Times New Roman" w:eastAsia="黑体"/>
          <w:kern w:val="0"/>
          <w:sz w:val="28"/>
          <w:szCs w:val="28"/>
          <w:lang w:val="en-US" w:eastAsia="zh-CN"/>
        </w:rPr>
        <w:t>化</w:t>
      </w:r>
      <w:r>
        <w:rPr>
          <w:rFonts w:hint="eastAsia" w:ascii="Times New Roman" w:hAnsi="Times New Roman" w:eastAsia="黑体"/>
          <w:kern w:val="0"/>
          <w:sz w:val="28"/>
          <w:szCs w:val="28"/>
        </w:rPr>
        <w:t>交易接入管理要求</w:t>
      </w:r>
      <w:bookmarkEnd w:id="384"/>
      <w:bookmarkEnd w:id="385"/>
    </w:p>
    <w:p w14:paraId="773B0CBD">
      <w:pPr>
        <w:spacing w:before="120" w:after="120"/>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期货公司应当建立程序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交易接入管理制度，明确客户进行程序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交易的相关要求和管理机制，对客户进行程序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交易实行严格的接入和认证管理。期权经营机构应当根据程序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交易管理制度，对客户使用自有、第三方提供或者期权经营机构提供的交易软件或者接口进行程序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交易的申请，进行审核、测试及认证，对符合条件的客户开通程序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交易权限，并与客户签署程序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交易业务协议，明确各自的权利、义务。客户未提出程序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交易申请或者未通过认证的，期货公司不得为其开通程序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交易权限。客户未开通程序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交易权限即自行开展程序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交易的，期货公司发现后应当及时予以制止，并向本所报告。</w:t>
      </w:r>
    </w:p>
    <w:p w14:paraId="28B623E3">
      <w:pPr>
        <w:spacing w:before="120" w:after="120"/>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期货公司应当为已开通程序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交易权限的客户设置专门的接入柜台系统的委托通道，并和未开通程序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交易权限的客户接入柜台系统的委托通道实行隔离管理。</w:t>
      </w:r>
    </w:p>
    <w:p w14:paraId="38F6D841">
      <w:pPr>
        <w:ind w:firstLine="560"/>
        <w:rPr>
          <w:rFonts w:hint="eastAsia" w:ascii="Times New Roman" w:hAnsi="Times New Roman" w:eastAsia="黑体"/>
          <w:kern w:val="0"/>
          <w:sz w:val="28"/>
          <w:szCs w:val="28"/>
        </w:rPr>
      </w:pPr>
      <w:bookmarkStart w:id="386" w:name="_Toc23947015"/>
      <w:bookmarkStart w:id="387" w:name="_Toc25733"/>
      <w:r>
        <w:rPr>
          <w:rFonts w:hint="eastAsia" w:ascii="Times New Roman" w:hAnsi="Times New Roman" w:eastAsia="黑体"/>
          <w:kern w:val="0"/>
          <w:sz w:val="28"/>
          <w:szCs w:val="28"/>
        </w:rPr>
        <w:t>二、程序</w:t>
      </w:r>
      <w:r>
        <w:rPr>
          <w:rFonts w:hint="eastAsia" w:ascii="Times New Roman" w:hAnsi="Times New Roman" w:eastAsia="黑体"/>
          <w:kern w:val="0"/>
          <w:sz w:val="28"/>
          <w:szCs w:val="28"/>
          <w:lang w:val="en-US" w:eastAsia="zh-CN"/>
        </w:rPr>
        <w:t>化</w:t>
      </w:r>
      <w:r>
        <w:rPr>
          <w:rFonts w:hint="eastAsia" w:ascii="Times New Roman" w:hAnsi="Times New Roman" w:eastAsia="黑体"/>
          <w:kern w:val="0"/>
          <w:sz w:val="28"/>
          <w:szCs w:val="28"/>
        </w:rPr>
        <w:t>交易</w:t>
      </w:r>
      <w:r>
        <w:rPr>
          <w:rFonts w:hint="eastAsia" w:ascii="Times New Roman" w:hAnsi="Times New Roman" w:eastAsia="黑体"/>
          <w:kern w:val="0"/>
          <w:sz w:val="28"/>
          <w:szCs w:val="28"/>
          <w:lang w:val="en-US" w:eastAsia="zh-CN"/>
        </w:rPr>
        <w:t>报告</w:t>
      </w:r>
      <w:r>
        <w:rPr>
          <w:rFonts w:hint="eastAsia" w:ascii="Times New Roman" w:hAnsi="Times New Roman" w:eastAsia="黑体"/>
          <w:kern w:val="0"/>
          <w:sz w:val="28"/>
          <w:szCs w:val="28"/>
        </w:rPr>
        <w:t>管理要求</w:t>
      </w:r>
      <w:bookmarkEnd w:id="386"/>
      <w:bookmarkEnd w:id="387"/>
    </w:p>
    <w:p w14:paraId="17DE6351">
      <w:pPr>
        <w:spacing w:before="120" w:after="120"/>
        <w:ind w:firstLine="560" w:firstLineChars="200"/>
        <w:rPr>
          <w:rFonts w:ascii="仿宋_GB2312" w:eastAsia="仿宋_GB2312"/>
          <w:kern w:val="0"/>
          <w:sz w:val="28"/>
          <w:szCs w:val="28"/>
        </w:rPr>
      </w:pPr>
      <w:r>
        <w:rPr>
          <w:rFonts w:hint="eastAsia" w:ascii="仿宋_GB2312" w:hAnsi="Times New Roman" w:eastAsia="仿宋_GB2312" w:cs="仿宋_GB2312"/>
          <w:kern w:val="0"/>
          <w:sz w:val="28"/>
          <w:szCs w:val="28"/>
        </w:rPr>
        <w:t>客户申请使用自有、第三方或者期权经营机构提供的交易软件或者接口进行程序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交易，期货公司经审核、认证后拟为其开通程序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交易权限的，应当严格落实程序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交易的备案要求，提前五个交易日向本所进行</w:t>
      </w:r>
      <w:r>
        <w:rPr>
          <w:rFonts w:hint="eastAsia" w:ascii="仿宋_GB2312" w:hAnsi="Times New Roman" w:eastAsia="仿宋_GB2312" w:cs="仿宋_GB2312"/>
          <w:kern w:val="0"/>
          <w:sz w:val="28"/>
          <w:szCs w:val="28"/>
          <w:lang w:val="en-US" w:eastAsia="zh-CN"/>
        </w:rPr>
        <w:t>报告</w:t>
      </w:r>
      <w:r>
        <w:rPr>
          <w:rFonts w:hint="eastAsia" w:ascii="仿宋_GB2312" w:eastAsia="仿宋_GB2312" w:cs="宋体"/>
          <w:kern w:val="0"/>
          <w:sz w:val="28"/>
          <w:szCs w:val="28"/>
        </w:rPr>
        <w:t>。</w:t>
      </w:r>
      <w:r>
        <w:rPr>
          <w:rFonts w:hint="eastAsia" w:ascii="仿宋_GB2312" w:eastAsia="仿宋_GB2312" w:cs="宋体"/>
          <w:kern w:val="0"/>
          <w:sz w:val="28"/>
          <w:szCs w:val="28"/>
          <w:lang w:val="en-US" w:eastAsia="zh-CN"/>
        </w:rPr>
        <w:t>期货</w:t>
      </w:r>
      <w:r>
        <w:rPr>
          <w:rFonts w:hint="eastAsia" w:ascii="仿宋_GB2312" w:eastAsia="仿宋_GB2312"/>
          <w:color w:val="000000"/>
          <w:sz w:val="28"/>
          <w:szCs w:val="28"/>
        </w:rPr>
        <w:t>公司</w:t>
      </w:r>
      <w:r>
        <w:rPr>
          <w:rFonts w:hint="eastAsia" w:ascii="仿宋_GB2312" w:eastAsia="仿宋_GB2312"/>
          <w:kern w:val="0"/>
          <w:sz w:val="28"/>
          <w:szCs w:val="28"/>
          <w:lang w:val="zh-CN"/>
        </w:rPr>
        <w:t>可在每个交易日</w:t>
      </w:r>
      <w:r>
        <w:rPr>
          <w:rFonts w:hint="eastAsia" w:ascii="Times New Roman" w:hAnsi="Times New Roman" w:eastAsia="仿宋_GB2312"/>
          <w:kern w:val="2"/>
          <w:sz w:val="28"/>
          <w:szCs w:val="28"/>
          <w:lang w:val="en-US" w:eastAsia="zh-CN"/>
        </w:rPr>
        <w:t>通过业务管理系统平台-交易参与人管理业务模块</w:t>
      </w:r>
      <w:r>
        <w:rPr>
          <w:rFonts w:hint="eastAsia" w:ascii="仿宋_GB2312" w:eastAsia="仿宋_GB2312"/>
          <w:kern w:val="0"/>
          <w:sz w:val="28"/>
          <w:szCs w:val="28"/>
          <w:lang w:val="zh-CN"/>
        </w:rPr>
        <w:t>进行程序</w:t>
      </w:r>
      <w:r>
        <w:rPr>
          <w:rFonts w:hint="eastAsia" w:ascii="仿宋_GB2312" w:eastAsia="仿宋_GB2312"/>
          <w:kern w:val="0"/>
          <w:sz w:val="28"/>
          <w:szCs w:val="28"/>
          <w:lang w:val="en-US" w:eastAsia="zh-CN"/>
        </w:rPr>
        <w:t>化</w:t>
      </w:r>
      <w:r>
        <w:rPr>
          <w:rFonts w:hint="eastAsia" w:ascii="仿宋_GB2312" w:eastAsia="仿宋_GB2312"/>
          <w:kern w:val="0"/>
          <w:sz w:val="28"/>
          <w:szCs w:val="28"/>
          <w:lang w:val="zh-CN"/>
        </w:rPr>
        <w:t>交易</w:t>
      </w:r>
      <w:r>
        <w:rPr>
          <w:rFonts w:hint="eastAsia" w:ascii="仿宋_GB2312" w:eastAsia="仿宋_GB2312"/>
          <w:kern w:val="0"/>
          <w:sz w:val="28"/>
          <w:szCs w:val="28"/>
          <w:lang w:val="en-US" w:eastAsia="zh-CN"/>
        </w:rPr>
        <w:t>报告</w:t>
      </w:r>
      <w:r>
        <w:rPr>
          <w:rFonts w:hint="eastAsia" w:ascii="仿宋_GB2312" w:eastAsia="仿宋_GB2312"/>
          <w:kern w:val="0"/>
          <w:sz w:val="28"/>
          <w:szCs w:val="28"/>
          <w:lang w:val="zh-CN"/>
        </w:rPr>
        <w:t>。</w:t>
      </w:r>
    </w:p>
    <w:p w14:paraId="166B36CC">
      <w:pPr>
        <w:spacing w:beforeLines="50" w:afterLines="50"/>
        <w:ind w:firstLine="504" w:firstLineChars="180"/>
        <w:rPr>
          <w:rFonts w:ascii="仿宋_GB2312" w:eastAsia="仿宋_GB2312" w:cs="仿宋_GB2312"/>
          <w:b/>
          <w:sz w:val="28"/>
          <w:szCs w:val="28"/>
        </w:rPr>
      </w:pPr>
      <w:bookmarkStart w:id="388" w:name="_Toc408665057"/>
      <w:r>
        <w:rPr>
          <w:rFonts w:hint="eastAsia" w:ascii="仿宋_GB2312" w:hAnsi="Times New Roman" w:eastAsia="仿宋_GB2312" w:cs="仿宋_GB2312"/>
          <w:kern w:val="0"/>
          <w:sz w:val="28"/>
          <w:szCs w:val="28"/>
        </w:rPr>
        <w:t>对于期货公司存在不报、漏报、未及时</w:t>
      </w:r>
      <w:r>
        <w:rPr>
          <w:rFonts w:hint="eastAsia" w:ascii="仿宋_GB2312" w:hAnsi="Times New Roman" w:eastAsia="仿宋_GB2312" w:cs="仿宋_GB2312"/>
          <w:kern w:val="0"/>
          <w:sz w:val="28"/>
          <w:szCs w:val="28"/>
          <w:lang w:val="en-US" w:eastAsia="zh-CN"/>
        </w:rPr>
        <w:t>报告</w:t>
      </w:r>
      <w:r>
        <w:rPr>
          <w:rFonts w:hint="eastAsia" w:ascii="仿宋_GB2312" w:hAnsi="Times New Roman" w:eastAsia="仿宋_GB2312" w:cs="仿宋_GB2312"/>
          <w:kern w:val="0"/>
          <w:sz w:val="28"/>
          <w:szCs w:val="28"/>
        </w:rPr>
        <w:t>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交易等情况的，</w:t>
      </w:r>
      <w:r>
        <w:rPr>
          <w:rFonts w:hint="eastAsia" w:ascii="仿宋_GB2312" w:hAnsi="Times New Roman" w:eastAsia="仿宋_GB2312" w:cs="仿宋_GB2312"/>
          <w:kern w:val="0"/>
          <w:sz w:val="28"/>
          <w:szCs w:val="28"/>
          <w:lang w:val="en-US" w:eastAsia="zh-CN"/>
        </w:rPr>
        <w:t>本所</w:t>
      </w:r>
      <w:r>
        <w:rPr>
          <w:rFonts w:hint="eastAsia" w:ascii="仿宋_GB2312" w:hAnsi="Times New Roman" w:eastAsia="仿宋_GB2312" w:cs="仿宋_GB2312"/>
          <w:kern w:val="0"/>
          <w:sz w:val="28"/>
          <w:szCs w:val="28"/>
        </w:rPr>
        <w:t>可根据情节轻重，采取书面警示、监管谈话等监管措施或者纪律处分措施。</w:t>
      </w:r>
    </w:p>
    <w:p w14:paraId="3BCCF576">
      <w:pPr>
        <w:ind w:firstLine="560"/>
        <w:rPr>
          <w:rFonts w:hint="eastAsia" w:ascii="Times New Roman" w:hAnsi="Times New Roman" w:eastAsia="黑体"/>
          <w:sz w:val="28"/>
          <w:szCs w:val="28"/>
        </w:rPr>
      </w:pPr>
      <w:bookmarkStart w:id="389" w:name="_Toc3364"/>
      <w:bookmarkStart w:id="390" w:name="_Toc23947016"/>
      <w:bookmarkStart w:id="391" w:name="_Toc15700"/>
      <w:bookmarkStart w:id="392" w:name="_Toc20773"/>
      <w:bookmarkStart w:id="393" w:name="_Toc24908"/>
      <w:r>
        <w:rPr>
          <w:rFonts w:hint="eastAsia" w:ascii="Times New Roman" w:hAnsi="Times New Roman" w:eastAsia="黑体"/>
          <w:sz w:val="28"/>
          <w:szCs w:val="28"/>
        </w:rPr>
        <w:t>三、变更</w:t>
      </w:r>
      <w:r>
        <w:rPr>
          <w:rFonts w:hint="eastAsia" w:ascii="Times New Roman" w:hAnsi="Times New Roman" w:eastAsia="黑体"/>
          <w:sz w:val="28"/>
          <w:szCs w:val="28"/>
          <w:lang w:val="en-US" w:eastAsia="zh-CN"/>
        </w:rPr>
        <w:t>报告</w:t>
      </w:r>
      <w:bookmarkEnd w:id="388"/>
      <w:bookmarkEnd w:id="389"/>
      <w:bookmarkEnd w:id="390"/>
      <w:bookmarkEnd w:id="391"/>
      <w:bookmarkEnd w:id="392"/>
      <w:bookmarkEnd w:id="393"/>
    </w:p>
    <w:p w14:paraId="39990853">
      <w:pPr>
        <w:spacing w:beforeLines="50" w:afterLines="50"/>
        <w:ind w:firstLine="504" w:firstLineChars="180"/>
        <w:rPr>
          <w:rFonts w:ascii="仿宋_GB2312" w:eastAsia="仿宋_GB2312"/>
          <w:bCs/>
          <w:kern w:val="0"/>
          <w:sz w:val="28"/>
          <w:szCs w:val="28"/>
        </w:rPr>
      </w:pPr>
      <w:r>
        <w:rPr>
          <w:rFonts w:hint="eastAsia" w:ascii="仿宋_GB2312" w:eastAsia="仿宋_GB2312"/>
          <w:bCs/>
          <w:kern w:val="0"/>
          <w:sz w:val="28"/>
          <w:szCs w:val="28"/>
        </w:rPr>
        <w:t>已</w:t>
      </w:r>
      <w:r>
        <w:rPr>
          <w:rFonts w:hint="eastAsia" w:ascii="仿宋_GB2312" w:eastAsia="仿宋_GB2312"/>
          <w:bCs/>
          <w:kern w:val="0"/>
          <w:sz w:val="28"/>
          <w:szCs w:val="28"/>
          <w:lang w:val="en-US" w:eastAsia="zh-CN"/>
        </w:rPr>
        <w:t>报告</w:t>
      </w:r>
      <w:r>
        <w:rPr>
          <w:rFonts w:hint="eastAsia" w:ascii="仿宋_GB2312" w:eastAsia="仿宋_GB2312"/>
          <w:bCs/>
          <w:kern w:val="0"/>
          <w:sz w:val="28"/>
          <w:szCs w:val="28"/>
        </w:rPr>
        <w:t>的程序</w:t>
      </w:r>
      <w:r>
        <w:rPr>
          <w:rFonts w:hint="eastAsia" w:ascii="仿宋_GB2312" w:eastAsia="仿宋_GB2312"/>
          <w:bCs/>
          <w:kern w:val="0"/>
          <w:sz w:val="28"/>
          <w:szCs w:val="28"/>
          <w:lang w:val="en-US" w:eastAsia="zh-CN"/>
        </w:rPr>
        <w:t>化</w:t>
      </w:r>
      <w:r>
        <w:rPr>
          <w:rFonts w:hint="eastAsia" w:ascii="仿宋_GB2312" w:eastAsia="仿宋_GB2312"/>
          <w:bCs/>
          <w:kern w:val="0"/>
          <w:sz w:val="28"/>
          <w:szCs w:val="28"/>
        </w:rPr>
        <w:t>交易账户发生以下信息变更时，期货公司应当提前5个交易日向本所进行信息变更</w:t>
      </w:r>
      <w:r>
        <w:rPr>
          <w:rFonts w:hint="eastAsia" w:ascii="仿宋_GB2312" w:eastAsia="仿宋_GB2312"/>
          <w:bCs/>
          <w:kern w:val="0"/>
          <w:sz w:val="28"/>
          <w:szCs w:val="28"/>
          <w:lang w:val="en-US" w:eastAsia="zh-CN"/>
        </w:rPr>
        <w:t>报告</w:t>
      </w:r>
      <w:r>
        <w:rPr>
          <w:rFonts w:hint="eastAsia" w:ascii="仿宋_GB2312" w:eastAsia="仿宋_GB2312"/>
          <w:bCs/>
          <w:kern w:val="0"/>
          <w:sz w:val="28"/>
          <w:szCs w:val="28"/>
        </w:rPr>
        <w:t>：</w:t>
      </w:r>
      <w:r>
        <w:rPr>
          <w:rFonts w:ascii="仿宋_GB2312" w:eastAsia="仿宋_GB2312"/>
          <w:bCs/>
          <w:kern w:val="0"/>
          <w:sz w:val="28"/>
          <w:szCs w:val="28"/>
        </w:rPr>
        <w:t xml:space="preserve"> </w:t>
      </w:r>
    </w:p>
    <w:p w14:paraId="3F1629DE">
      <w:pPr>
        <w:spacing w:beforeLines="50" w:afterLines="50"/>
        <w:ind w:firstLine="504" w:firstLineChars="180"/>
        <w:rPr>
          <w:rFonts w:ascii="仿宋_GB2312" w:eastAsia="仿宋_GB2312"/>
          <w:bCs/>
          <w:kern w:val="0"/>
          <w:sz w:val="28"/>
          <w:szCs w:val="28"/>
        </w:rPr>
      </w:pPr>
      <w:r>
        <w:rPr>
          <w:rFonts w:hint="eastAsia" w:ascii="Times New Roman" w:hAnsi="Times New Roman" w:eastAsia="仿宋_GB2312"/>
          <w:sz w:val="28"/>
          <w:szCs w:val="28"/>
        </w:rPr>
        <w:t>1.</w:t>
      </w:r>
      <w:r>
        <w:rPr>
          <w:rFonts w:hint="eastAsia" w:ascii="仿宋_GB2312" w:eastAsia="仿宋_GB2312"/>
          <w:bCs/>
          <w:kern w:val="0"/>
          <w:sz w:val="28"/>
          <w:szCs w:val="28"/>
        </w:rPr>
        <w:t>机构账户资金来源发生变更；</w:t>
      </w:r>
    </w:p>
    <w:p w14:paraId="21115A64">
      <w:pPr>
        <w:spacing w:beforeLines="50" w:afterLines="50"/>
        <w:ind w:firstLine="504" w:firstLineChars="180"/>
        <w:rPr>
          <w:rFonts w:ascii="仿宋_GB2312" w:eastAsia="仿宋_GB2312"/>
          <w:bCs/>
          <w:kern w:val="0"/>
          <w:sz w:val="28"/>
          <w:szCs w:val="28"/>
        </w:rPr>
      </w:pPr>
      <w:r>
        <w:rPr>
          <w:rFonts w:hint="eastAsia" w:ascii="Times New Roman" w:hAnsi="Times New Roman" w:eastAsia="仿宋_GB2312"/>
          <w:sz w:val="28"/>
          <w:szCs w:val="28"/>
          <w:lang w:val="en-US" w:eastAsia="zh-CN"/>
        </w:rPr>
        <w:t>2</w:t>
      </w:r>
      <w:r>
        <w:rPr>
          <w:rFonts w:hint="eastAsia" w:ascii="Times New Roman" w:hAnsi="Times New Roman" w:eastAsia="仿宋_GB2312"/>
          <w:sz w:val="28"/>
          <w:szCs w:val="28"/>
        </w:rPr>
        <w:t>.</w:t>
      </w:r>
      <w:r>
        <w:rPr>
          <w:rFonts w:hint="eastAsia" w:ascii="仿宋_GB2312" w:eastAsia="仿宋_GB2312"/>
          <w:bCs/>
          <w:kern w:val="0"/>
          <w:sz w:val="28"/>
          <w:szCs w:val="28"/>
        </w:rPr>
        <w:t>机构账户实际控制人发生变更；</w:t>
      </w:r>
    </w:p>
    <w:p w14:paraId="711374D6">
      <w:pPr>
        <w:spacing w:beforeLines="50" w:afterLines="50"/>
        <w:ind w:firstLine="504" w:firstLineChars="180"/>
        <w:rPr>
          <w:rFonts w:ascii="仿宋_GB2312" w:eastAsia="仿宋_GB2312"/>
          <w:bCs/>
          <w:kern w:val="0"/>
          <w:sz w:val="28"/>
          <w:szCs w:val="28"/>
        </w:rPr>
      </w:pP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w:t>
      </w:r>
      <w:r>
        <w:rPr>
          <w:rFonts w:hint="eastAsia" w:ascii="仿宋_GB2312" w:eastAsia="仿宋_GB2312"/>
          <w:bCs/>
          <w:kern w:val="0"/>
          <w:sz w:val="28"/>
          <w:szCs w:val="28"/>
        </w:rPr>
        <w:t>机构账户主要交易员信息发生变更；</w:t>
      </w:r>
    </w:p>
    <w:p w14:paraId="2D8B5893">
      <w:pPr>
        <w:spacing w:beforeLines="50" w:afterLines="50"/>
        <w:ind w:firstLine="504" w:firstLineChars="180"/>
        <w:rPr>
          <w:rFonts w:ascii="仿宋_GB2312" w:eastAsia="仿宋_GB2312"/>
          <w:bCs/>
          <w:kern w:val="0"/>
          <w:sz w:val="28"/>
          <w:szCs w:val="28"/>
        </w:rPr>
      </w:pP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w:t>
      </w:r>
      <w:r>
        <w:rPr>
          <w:rFonts w:hint="eastAsia" w:ascii="仿宋_GB2312" w:eastAsia="仿宋_GB2312"/>
          <w:bCs/>
          <w:kern w:val="0"/>
          <w:sz w:val="28"/>
          <w:szCs w:val="28"/>
        </w:rPr>
        <w:t>交易系统或下单系统服务器所在城市发生变更；</w:t>
      </w:r>
    </w:p>
    <w:p w14:paraId="22FF1F96">
      <w:pPr>
        <w:spacing w:beforeLines="50" w:afterLines="50"/>
        <w:ind w:firstLine="504" w:firstLineChars="180"/>
        <w:rPr>
          <w:rFonts w:ascii="仿宋_GB2312" w:eastAsia="仿宋_GB2312"/>
          <w:bCs/>
          <w:kern w:val="0"/>
          <w:sz w:val="28"/>
          <w:szCs w:val="28"/>
        </w:rPr>
      </w:pPr>
      <w:r>
        <w:rPr>
          <w:rFonts w:hint="eastAsia" w:ascii="Times New Roman" w:hAnsi="Times New Roman" w:eastAsia="仿宋_GB2312"/>
          <w:sz w:val="28"/>
          <w:szCs w:val="28"/>
          <w:lang w:val="en-US" w:eastAsia="zh-CN"/>
        </w:rPr>
        <w:t>5</w:t>
      </w:r>
      <w:r>
        <w:rPr>
          <w:rFonts w:hint="eastAsia" w:ascii="Times New Roman" w:hAnsi="Times New Roman" w:eastAsia="仿宋_GB2312"/>
          <w:sz w:val="28"/>
          <w:szCs w:val="28"/>
        </w:rPr>
        <w:t>.</w:t>
      </w:r>
      <w:r>
        <w:rPr>
          <w:rFonts w:hint="eastAsia" w:ascii="仿宋_GB2312" w:eastAsia="仿宋_GB2312"/>
          <w:bCs/>
          <w:kern w:val="0"/>
          <w:sz w:val="28"/>
          <w:szCs w:val="28"/>
        </w:rPr>
        <w:t>程序</w:t>
      </w:r>
      <w:r>
        <w:rPr>
          <w:rFonts w:hint="eastAsia" w:ascii="仿宋_GB2312" w:eastAsia="仿宋_GB2312"/>
          <w:bCs/>
          <w:kern w:val="0"/>
          <w:sz w:val="28"/>
          <w:szCs w:val="28"/>
          <w:lang w:val="en-US" w:eastAsia="zh-CN"/>
        </w:rPr>
        <w:t>化</w:t>
      </w:r>
      <w:r>
        <w:rPr>
          <w:rFonts w:hint="eastAsia" w:ascii="仿宋_GB2312" w:eastAsia="仿宋_GB2312"/>
          <w:bCs/>
          <w:kern w:val="0"/>
          <w:sz w:val="28"/>
          <w:szCs w:val="28"/>
        </w:rPr>
        <w:t>交易软件信息发生重大变更；</w:t>
      </w:r>
    </w:p>
    <w:p w14:paraId="11DBFFAE">
      <w:pPr>
        <w:spacing w:beforeLines="50" w:afterLines="50"/>
        <w:ind w:firstLine="504" w:firstLineChars="180"/>
        <w:rPr>
          <w:rFonts w:ascii="仿宋_GB2312" w:eastAsia="仿宋_GB2312" w:cs="仿宋_GB2312"/>
          <w:kern w:val="0"/>
          <w:sz w:val="28"/>
          <w:szCs w:val="28"/>
        </w:rPr>
      </w:pPr>
      <w:r>
        <w:rPr>
          <w:rFonts w:hint="eastAsia" w:ascii="Times New Roman" w:hAnsi="Times New Roman" w:eastAsia="仿宋_GB2312"/>
          <w:sz w:val="28"/>
          <w:szCs w:val="28"/>
          <w:lang w:val="en-US" w:eastAsia="zh-CN"/>
        </w:rPr>
        <w:t>6</w:t>
      </w:r>
      <w:r>
        <w:rPr>
          <w:rFonts w:hint="eastAsia" w:ascii="Times New Roman" w:hAnsi="Times New Roman" w:eastAsia="仿宋_GB2312"/>
          <w:sz w:val="28"/>
          <w:szCs w:val="28"/>
        </w:rPr>
        <w:t>.</w:t>
      </w:r>
      <w:r>
        <w:rPr>
          <w:rFonts w:hint="eastAsia" w:ascii="仿宋_GB2312" w:eastAsia="仿宋_GB2312"/>
          <w:bCs/>
          <w:kern w:val="0"/>
          <w:sz w:val="28"/>
          <w:szCs w:val="28"/>
        </w:rPr>
        <w:t>其他重大信息变更。</w:t>
      </w:r>
    </w:p>
    <w:p w14:paraId="058339D9">
      <w:pPr>
        <w:ind w:firstLine="560"/>
        <w:rPr>
          <w:rFonts w:hint="eastAsia" w:ascii="Times New Roman" w:hAnsi="Times New Roman" w:eastAsia="黑体"/>
          <w:kern w:val="0"/>
          <w:sz w:val="28"/>
          <w:szCs w:val="28"/>
          <w:lang w:val="zh-CN"/>
        </w:rPr>
      </w:pPr>
      <w:bookmarkStart w:id="394" w:name="_Toc2544"/>
      <w:bookmarkStart w:id="395" w:name="_Toc23947017"/>
      <w:r>
        <w:rPr>
          <w:rFonts w:hint="eastAsia" w:ascii="Times New Roman" w:hAnsi="Times New Roman" w:eastAsia="黑体"/>
          <w:kern w:val="0"/>
          <w:sz w:val="28"/>
          <w:szCs w:val="28"/>
          <w:lang w:val="zh-CN"/>
        </w:rPr>
        <w:t>四、程序</w:t>
      </w:r>
      <w:r>
        <w:rPr>
          <w:rFonts w:hint="eastAsia" w:ascii="Times New Roman" w:hAnsi="Times New Roman" w:eastAsia="黑体"/>
          <w:kern w:val="0"/>
          <w:sz w:val="28"/>
          <w:szCs w:val="28"/>
          <w:lang w:val="en-US" w:eastAsia="zh-CN"/>
        </w:rPr>
        <w:t>化</w:t>
      </w:r>
      <w:r>
        <w:rPr>
          <w:rFonts w:hint="eastAsia" w:ascii="Times New Roman" w:hAnsi="Times New Roman" w:eastAsia="黑体"/>
          <w:kern w:val="0"/>
          <w:sz w:val="28"/>
          <w:szCs w:val="28"/>
          <w:lang w:val="zh-CN"/>
        </w:rPr>
        <w:t>交易的监管</w:t>
      </w:r>
      <w:bookmarkEnd w:id="394"/>
      <w:bookmarkEnd w:id="395"/>
    </w:p>
    <w:p w14:paraId="4A553A76">
      <w:pPr>
        <w:autoSpaceDE w:val="0"/>
        <w:autoSpaceDN w:val="0"/>
        <w:adjustRightInd w:val="0"/>
        <w:spacing w:line="360" w:lineRule="auto"/>
        <w:ind w:firstLine="560" w:firstLineChars="200"/>
        <w:rPr>
          <w:rFonts w:ascii="仿宋_GB2312" w:eastAsia="仿宋_GB2312" w:cs="仿宋_GB2312"/>
          <w:bCs/>
          <w:sz w:val="28"/>
          <w:szCs w:val="44"/>
        </w:rPr>
      </w:pPr>
      <w:r>
        <w:rPr>
          <w:rFonts w:hint="eastAsia" w:ascii="仿宋_GB2312" w:eastAsia="仿宋_GB2312" w:cs="仿宋_GB2312"/>
          <w:bCs/>
          <w:sz w:val="28"/>
          <w:szCs w:val="44"/>
        </w:rPr>
        <w:t>本所对期货公司提交的</w:t>
      </w:r>
      <w:r>
        <w:rPr>
          <w:rFonts w:hint="eastAsia" w:ascii="仿宋_GB2312" w:eastAsia="仿宋_GB2312" w:cs="仿宋_GB2312"/>
          <w:bCs/>
          <w:sz w:val="28"/>
          <w:szCs w:val="44"/>
          <w:lang w:val="en-US" w:eastAsia="zh-CN"/>
        </w:rPr>
        <w:t>报告</w:t>
      </w:r>
      <w:r>
        <w:rPr>
          <w:rFonts w:hint="eastAsia" w:ascii="仿宋_GB2312" w:eastAsia="仿宋_GB2312" w:cs="仿宋_GB2312"/>
          <w:bCs/>
          <w:sz w:val="28"/>
          <w:szCs w:val="44"/>
        </w:rPr>
        <w:t>材料进行核查，发现信息不全或存有疑义的，将在收到</w:t>
      </w:r>
      <w:r>
        <w:rPr>
          <w:rFonts w:hint="eastAsia" w:ascii="仿宋_GB2312" w:eastAsia="仿宋_GB2312" w:cs="仿宋_GB2312"/>
          <w:bCs/>
          <w:sz w:val="28"/>
          <w:szCs w:val="44"/>
          <w:lang w:val="en-US" w:eastAsia="zh-CN"/>
        </w:rPr>
        <w:t>报告</w:t>
      </w:r>
      <w:r>
        <w:rPr>
          <w:rFonts w:hint="eastAsia" w:ascii="仿宋_GB2312" w:eastAsia="仿宋_GB2312" w:cs="仿宋_GB2312"/>
          <w:bCs/>
          <w:sz w:val="28"/>
          <w:szCs w:val="44"/>
        </w:rPr>
        <w:t>材料的5个交易日内向期货公司进行反馈，要求补充材料或进行相关解释。期货公司在5个交易日内未收到本所反馈的，</w:t>
      </w:r>
      <w:r>
        <w:rPr>
          <w:rFonts w:hint="eastAsia" w:ascii="仿宋_GB2312" w:eastAsia="仿宋_GB2312" w:cs="仿宋_GB2312"/>
          <w:bCs/>
          <w:sz w:val="28"/>
          <w:szCs w:val="44"/>
          <w:lang w:val="en-US" w:eastAsia="zh-CN"/>
        </w:rPr>
        <w:t>报告</w:t>
      </w:r>
      <w:r>
        <w:rPr>
          <w:rFonts w:hint="eastAsia" w:ascii="仿宋_GB2312" w:eastAsia="仿宋_GB2312" w:cs="仿宋_GB2312"/>
          <w:bCs/>
          <w:sz w:val="28"/>
          <w:szCs w:val="44"/>
        </w:rPr>
        <w:t>账户可于报送之日起5个交易日后进行股票期权程序</w:t>
      </w:r>
      <w:r>
        <w:rPr>
          <w:rFonts w:hint="eastAsia" w:ascii="仿宋_GB2312" w:eastAsia="仿宋_GB2312" w:cs="仿宋_GB2312"/>
          <w:bCs/>
          <w:sz w:val="28"/>
          <w:szCs w:val="44"/>
          <w:lang w:val="en-US" w:eastAsia="zh-CN"/>
        </w:rPr>
        <w:t>化</w:t>
      </w:r>
      <w:r>
        <w:rPr>
          <w:rFonts w:hint="eastAsia" w:ascii="仿宋_GB2312" w:eastAsia="仿宋_GB2312" w:cs="仿宋_GB2312"/>
          <w:bCs/>
          <w:sz w:val="28"/>
          <w:szCs w:val="44"/>
        </w:rPr>
        <w:t>交易。</w:t>
      </w:r>
    </w:p>
    <w:p w14:paraId="60238E50">
      <w:pPr>
        <w:autoSpaceDE w:val="0"/>
        <w:autoSpaceDN w:val="0"/>
        <w:adjustRightInd w:val="0"/>
        <w:spacing w:line="360" w:lineRule="auto"/>
        <w:ind w:firstLine="560" w:firstLineChars="200"/>
        <w:rPr>
          <w:rFonts w:ascii="仿宋_GB2312" w:eastAsia="仿宋_GB2312" w:cs="仿宋_GB2312"/>
          <w:bCs/>
          <w:sz w:val="28"/>
          <w:szCs w:val="44"/>
        </w:rPr>
      </w:pPr>
      <w:r>
        <w:rPr>
          <w:rFonts w:hint="eastAsia" w:ascii="仿宋_GB2312" w:eastAsia="仿宋_GB2312" w:cs="仿宋_GB2312"/>
          <w:bCs/>
          <w:sz w:val="28"/>
          <w:szCs w:val="44"/>
        </w:rPr>
        <w:t>投资者可以通过期货公司向本所申请撤销程序</w:t>
      </w:r>
      <w:r>
        <w:rPr>
          <w:rFonts w:hint="eastAsia" w:ascii="仿宋_GB2312" w:eastAsia="仿宋_GB2312" w:cs="仿宋_GB2312"/>
          <w:bCs/>
          <w:sz w:val="28"/>
          <w:szCs w:val="44"/>
          <w:lang w:val="en-US" w:eastAsia="zh-CN"/>
        </w:rPr>
        <w:t>化</w:t>
      </w:r>
      <w:r>
        <w:rPr>
          <w:rFonts w:hint="eastAsia" w:ascii="仿宋_GB2312" w:eastAsia="仿宋_GB2312" w:cs="仿宋_GB2312"/>
          <w:bCs/>
          <w:sz w:val="28"/>
          <w:szCs w:val="44"/>
        </w:rPr>
        <w:t>交易账户</w:t>
      </w:r>
      <w:r>
        <w:rPr>
          <w:rFonts w:hint="eastAsia" w:ascii="仿宋_GB2312" w:eastAsia="仿宋_GB2312" w:cs="仿宋_GB2312"/>
          <w:bCs/>
          <w:sz w:val="28"/>
          <w:szCs w:val="44"/>
          <w:lang w:val="en-US" w:eastAsia="zh-CN"/>
        </w:rPr>
        <w:t>报告</w:t>
      </w:r>
      <w:r>
        <w:rPr>
          <w:rFonts w:hint="eastAsia" w:ascii="仿宋_GB2312" w:eastAsia="仿宋_GB2312" w:cs="仿宋_GB2312"/>
          <w:bCs/>
          <w:sz w:val="28"/>
          <w:szCs w:val="44"/>
        </w:rPr>
        <w:t>，撤销</w:t>
      </w:r>
      <w:r>
        <w:rPr>
          <w:rFonts w:hint="eastAsia" w:ascii="仿宋_GB2312" w:eastAsia="仿宋_GB2312" w:cs="仿宋_GB2312"/>
          <w:bCs/>
          <w:sz w:val="28"/>
          <w:szCs w:val="44"/>
          <w:lang w:val="en-US" w:eastAsia="zh-CN"/>
        </w:rPr>
        <w:t>报告</w:t>
      </w:r>
      <w:r>
        <w:rPr>
          <w:rFonts w:hint="eastAsia" w:ascii="仿宋_GB2312" w:eastAsia="仿宋_GB2312" w:cs="仿宋_GB2312"/>
          <w:bCs/>
          <w:sz w:val="28"/>
          <w:szCs w:val="44"/>
        </w:rPr>
        <w:t>后的账户在再次</w:t>
      </w:r>
      <w:r>
        <w:rPr>
          <w:rFonts w:hint="eastAsia" w:ascii="仿宋_GB2312" w:eastAsia="仿宋_GB2312" w:cs="仿宋_GB2312"/>
          <w:bCs/>
          <w:sz w:val="28"/>
          <w:szCs w:val="44"/>
          <w:lang w:val="en-US" w:eastAsia="zh-CN"/>
        </w:rPr>
        <w:t>报告</w:t>
      </w:r>
      <w:r>
        <w:rPr>
          <w:rFonts w:hint="eastAsia" w:ascii="仿宋_GB2312" w:eastAsia="仿宋_GB2312" w:cs="仿宋_GB2312"/>
          <w:bCs/>
          <w:sz w:val="28"/>
          <w:szCs w:val="44"/>
        </w:rPr>
        <w:t>前不得进行程序</w:t>
      </w:r>
      <w:r>
        <w:rPr>
          <w:rFonts w:hint="eastAsia" w:ascii="仿宋_GB2312" w:eastAsia="仿宋_GB2312" w:cs="仿宋_GB2312"/>
          <w:bCs/>
          <w:sz w:val="28"/>
          <w:szCs w:val="44"/>
          <w:lang w:val="en-US" w:eastAsia="zh-CN"/>
        </w:rPr>
        <w:t>化</w:t>
      </w:r>
      <w:r>
        <w:rPr>
          <w:rFonts w:hint="eastAsia" w:ascii="仿宋_GB2312" w:eastAsia="仿宋_GB2312" w:cs="仿宋_GB2312"/>
          <w:bCs/>
          <w:sz w:val="28"/>
          <w:szCs w:val="44"/>
        </w:rPr>
        <w:t>交易。</w:t>
      </w:r>
    </w:p>
    <w:p w14:paraId="127CC631">
      <w:pPr>
        <w:spacing w:before="0" w:after="0"/>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期货公司应当加强对程序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交易的运行监控，并针对客户程序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交易可能发生的异常情况，建立预防、发现与处置机制，自觉维护</w:t>
      </w:r>
      <w:r>
        <w:rPr>
          <w:rFonts w:ascii="Times New Roman" w:hAnsi="Times New Roman" w:eastAsia="仿宋_GB2312"/>
          <w:sz w:val="28"/>
          <w:szCs w:val="28"/>
        </w:rPr>
        <w:t>股票</w:t>
      </w:r>
      <w:r>
        <w:rPr>
          <w:rFonts w:hint="eastAsia" w:ascii="仿宋_GB2312" w:hAnsi="Times New Roman" w:eastAsia="仿宋_GB2312" w:cs="仿宋_GB2312"/>
          <w:kern w:val="0"/>
          <w:sz w:val="28"/>
          <w:szCs w:val="28"/>
        </w:rPr>
        <w:t>期权交易的正常秩序。</w:t>
      </w:r>
      <w:r>
        <w:rPr>
          <w:rFonts w:hint="eastAsia" w:ascii="Times New Roman" w:hAnsi="Times New Roman" w:eastAsia="仿宋_GB2312" w:cs="Times New Roman"/>
          <w:kern w:val="2"/>
          <w:sz w:val="28"/>
          <w:szCs w:val="28"/>
          <w:lang w:val="en-US" w:eastAsia="zh-CN"/>
        </w:rPr>
        <w:t>期货</w:t>
      </w:r>
      <w:r>
        <w:rPr>
          <w:rFonts w:hint="default" w:ascii="Times New Roman" w:hAnsi="Times New Roman" w:eastAsia="仿宋_GB2312" w:cs="Times New Roman"/>
          <w:kern w:val="2"/>
          <w:sz w:val="28"/>
          <w:szCs w:val="28"/>
        </w:rPr>
        <w:t>公司应当建立程序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交易监控系统并设置实时监控指标和合理阈值。</w:t>
      </w:r>
      <w:r>
        <w:rPr>
          <w:rFonts w:hint="eastAsia" w:ascii="Times New Roman" w:hAnsi="Times New Roman" w:eastAsia="仿宋_GB2312" w:cs="Times New Roman"/>
          <w:kern w:val="2"/>
          <w:sz w:val="28"/>
          <w:szCs w:val="28"/>
          <w:lang w:val="en-US" w:eastAsia="zh-CN"/>
        </w:rPr>
        <w:t>期货</w:t>
      </w:r>
      <w:r>
        <w:rPr>
          <w:rFonts w:hint="default" w:ascii="Times New Roman" w:hAnsi="Times New Roman" w:eastAsia="仿宋_GB2312" w:cs="Times New Roman"/>
          <w:kern w:val="2"/>
          <w:sz w:val="28"/>
          <w:szCs w:val="28"/>
        </w:rPr>
        <w:t>公司应当勤勉尽责，定期审查程序</w:t>
      </w:r>
      <w:r>
        <w:rPr>
          <w:rFonts w:hint="eastAsia" w:ascii="Times New Roman" w:hAnsi="Times New Roman" w:eastAsia="仿宋_GB2312" w:cs="Times New Roman"/>
          <w:kern w:val="2"/>
          <w:sz w:val="28"/>
          <w:szCs w:val="28"/>
          <w:lang w:val="en-US" w:eastAsia="zh-CN"/>
        </w:rPr>
        <w:t>化</w:t>
      </w:r>
      <w:r>
        <w:rPr>
          <w:rFonts w:hint="default" w:ascii="Times New Roman" w:hAnsi="Times New Roman" w:eastAsia="仿宋_GB2312" w:cs="Times New Roman"/>
          <w:kern w:val="2"/>
          <w:sz w:val="28"/>
          <w:szCs w:val="28"/>
        </w:rPr>
        <w:t>交易客户是否利用其程序或软件为他人服务，或将其程序或软件提供给他人使用。</w:t>
      </w:r>
      <w:r>
        <w:rPr>
          <w:rFonts w:hint="eastAsia" w:ascii="Times New Roman" w:hAnsi="Times New Roman" w:eastAsia="仿宋_GB2312" w:cs="Times New Roman"/>
          <w:kern w:val="2"/>
          <w:sz w:val="28"/>
          <w:szCs w:val="28"/>
          <w:lang w:val="en-US" w:eastAsia="zh-CN"/>
        </w:rPr>
        <w:t>期货</w:t>
      </w:r>
      <w:r>
        <w:rPr>
          <w:rFonts w:hint="default" w:ascii="Times New Roman" w:hAnsi="Times New Roman" w:eastAsia="仿宋_GB2312" w:cs="Times New Roman"/>
          <w:kern w:val="2"/>
          <w:sz w:val="28"/>
          <w:szCs w:val="28"/>
        </w:rPr>
        <w:t>公司及应当采取有效措施防范协议破解、外挂依附、文件交换等其他变相方式违规接入。</w:t>
      </w:r>
    </w:p>
    <w:p w14:paraId="70451382">
      <w:pPr>
        <w:spacing w:before="120" w:after="120"/>
        <w:ind w:firstLine="560" w:firstLineChars="200"/>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rPr>
        <w:t>客户进行程序</w:t>
      </w:r>
      <w:r>
        <w:rPr>
          <w:rFonts w:hint="eastAsia" w:ascii="仿宋_GB2312" w:hAnsi="Times New Roman" w:eastAsia="仿宋_GB2312" w:cs="仿宋_GB2312"/>
          <w:kern w:val="0"/>
          <w:sz w:val="28"/>
          <w:szCs w:val="28"/>
          <w:lang w:val="en-US" w:eastAsia="zh-CN"/>
        </w:rPr>
        <w:t>化</w:t>
      </w:r>
      <w:r>
        <w:rPr>
          <w:rFonts w:hint="eastAsia" w:ascii="仿宋_GB2312" w:hAnsi="Times New Roman" w:eastAsia="仿宋_GB2312" w:cs="仿宋_GB2312"/>
          <w:kern w:val="0"/>
          <w:sz w:val="28"/>
          <w:szCs w:val="28"/>
        </w:rPr>
        <w:t>交易出现或者可能出现异常的，期货公司应当按照与客户的约定，及时采取应急处置措施，包括但不限于限制客户交易权限、为客户提供紧急撤单服务等，并立即向本所报告。</w:t>
      </w:r>
    </w:p>
    <w:p w14:paraId="3F01E108">
      <w:pPr>
        <w:spacing w:beforeLines="50" w:afterLines="50"/>
        <w:ind w:firstLine="504" w:firstLineChars="180"/>
        <w:rPr>
          <w:rFonts w:ascii="仿宋_GB2312" w:eastAsia="仿宋_GB2312" w:cs="仿宋_GB2312"/>
          <w:kern w:val="0"/>
          <w:sz w:val="28"/>
          <w:szCs w:val="28"/>
        </w:rPr>
      </w:pPr>
    </w:p>
    <w:p w14:paraId="3D147866">
      <w:pPr>
        <w:widowControl/>
        <w:jc w:val="left"/>
        <w:rPr>
          <w:rFonts w:ascii="仿宋_GB2312" w:hAnsi="Times New Roman" w:eastAsia="仿宋_GB2312"/>
          <w:b/>
          <w:bCs/>
          <w:sz w:val="28"/>
          <w:szCs w:val="28"/>
        </w:rPr>
      </w:pPr>
    </w:p>
    <w:p w14:paraId="4EF23B33">
      <w:pPr>
        <w:widowControl/>
        <w:jc w:val="left"/>
        <w:rPr>
          <w:rFonts w:ascii="仿宋_GB2312" w:hAnsi="Times New Roman" w:eastAsia="仿宋_GB2312"/>
          <w:b/>
          <w:bCs/>
          <w:sz w:val="28"/>
          <w:szCs w:val="28"/>
        </w:rPr>
      </w:pPr>
    </w:p>
    <w:p w14:paraId="2CFF46F6">
      <w:pPr>
        <w:widowControl/>
        <w:jc w:val="left"/>
        <w:rPr>
          <w:rFonts w:ascii="仿宋_GB2312" w:hAnsi="Times New Roman" w:eastAsia="仿宋_GB2312"/>
          <w:b/>
          <w:bCs/>
          <w:sz w:val="28"/>
          <w:szCs w:val="28"/>
        </w:rPr>
      </w:pPr>
    </w:p>
    <w:p w14:paraId="3F79C256">
      <w:pPr>
        <w:widowControl/>
        <w:jc w:val="left"/>
        <w:rPr>
          <w:rFonts w:ascii="仿宋_GB2312" w:hAnsi="Times New Roman" w:eastAsia="仿宋_GB2312"/>
          <w:b/>
          <w:bCs/>
          <w:sz w:val="28"/>
          <w:szCs w:val="28"/>
        </w:rPr>
      </w:pPr>
    </w:p>
    <w:p w14:paraId="205C560D">
      <w:pPr>
        <w:widowControl/>
        <w:jc w:val="left"/>
        <w:rPr>
          <w:rFonts w:ascii="仿宋_GB2312" w:hAnsi="Times New Roman" w:eastAsia="仿宋_GB2312"/>
          <w:b/>
          <w:bCs/>
          <w:sz w:val="28"/>
          <w:szCs w:val="28"/>
        </w:rPr>
      </w:pPr>
    </w:p>
    <w:p w14:paraId="5117D0AF">
      <w:pPr>
        <w:widowControl/>
        <w:jc w:val="left"/>
        <w:rPr>
          <w:rFonts w:ascii="仿宋_GB2312" w:hAnsi="Times New Roman" w:eastAsia="仿宋_GB2312"/>
          <w:b/>
          <w:bCs/>
          <w:sz w:val="28"/>
          <w:szCs w:val="28"/>
        </w:rPr>
      </w:pPr>
    </w:p>
    <w:p w14:paraId="7C4CB709">
      <w:pPr>
        <w:spacing w:before="156" w:beforeLines="50" w:after="156" w:afterLines="50"/>
        <w:jc w:val="center"/>
        <w:outlineLvl w:val="0"/>
        <w:rPr>
          <w:rFonts w:ascii="Times New Roman" w:hAnsi="Times New Roman" w:eastAsia="黑体"/>
          <w:b/>
          <w:bCs/>
          <w:sz w:val="32"/>
          <w:szCs w:val="32"/>
        </w:rPr>
      </w:pPr>
      <w:bookmarkStart w:id="396" w:name="_Toc408746760"/>
      <w:bookmarkStart w:id="397" w:name="_Toc31564"/>
      <w:bookmarkStart w:id="398" w:name="_Toc1591"/>
      <w:bookmarkStart w:id="399" w:name="_Toc23947018"/>
      <w:bookmarkStart w:id="400" w:name="_Toc12795"/>
      <w:bookmarkStart w:id="401" w:name="_Toc12239"/>
      <w:r>
        <w:rPr>
          <w:rFonts w:hint="default" w:ascii="Times New Roman" w:hAnsi="Times New Roman" w:eastAsia="黑体"/>
          <w:b/>
          <w:bCs/>
          <w:sz w:val="32"/>
          <w:szCs w:val="32"/>
        </w:rPr>
        <w:t>第十四章  大户报告</w:t>
      </w:r>
      <w:bookmarkEnd w:id="396"/>
      <w:bookmarkEnd w:id="397"/>
      <w:bookmarkEnd w:id="398"/>
      <w:bookmarkEnd w:id="399"/>
      <w:bookmarkEnd w:id="400"/>
      <w:bookmarkEnd w:id="401"/>
    </w:p>
    <w:p w14:paraId="0229F414">
      <w:pPr>
        <w:ind w:firstLine="560" w:firstLineChars="200"/>
        <w:rPr>
          <w:rFonts w:ascii="仿宋_GB2312" w:eastAsia="仿宋_GB2312" w:cs="仿宋_GB2312"/>
          <w:sz w:val="28"/>
          <w:szCs w:val="28"/>
        </w:rPr>
      </w:pPr>
      <w:r>
        <w:rPr>
          <w:rFonts w:hint="eastAsia" w:ascii="仿宋_GB2312" w:eastAsia="仿宋_GB2312" w:cs="仿宋_GB2312"/>
          <w:sz w:val="28"/>
          <w:szCs w:val="28"/>
          <w:lang w:val="en-US" w:eastAsia="zh-CN"/>
        </w:rPr>
        <w:t>股票</w:t>
      </w:r>
      <w:r>
        <w:rPr>
          <w:rFonts w:hint="eastAsia" w:ascii="仿宋_GB2312" w:eastAsia="仿宋_GB2312" w:cs="仿宋_GB2312"/>
          <w:sz w:val="28"/>
          <w:szCs w:val="28"/>
        </w:rPr>
        <w:t>期权交易实行大户持仓报告制度。</w:t>
      </w:r>
      <w:r>
        <w:rPr>
          <w:rFonts w:hint="eastAsia" w:ascii="仿宋_GB2312" w:eastAsia="仿宋_GB2312" w:cs="仿宋_GB2312"/>
          <w:sz w:val="28"/>
          <w:szCs w:val="28"/>
          <w:lang w:val="en-US" w:eastAsia="zh-CN"/>
        </w:rPr>
        <w:t>本所</w:t>
      </w:r>
      <w:r>
        <w:rPr>
          <w:rFonts w:hint="eastAsia" w:ascii="仿宋_GB2312" w:eastAsia="仿宋_GB2312" w:cs="仿宋_GB2312"/>
          <w:sz w:val="28"/>
          <w:szCs w:val="28"/>
        </w:rPr>
        <w:t>可根据市场风险状况要求期权经营机构或投资者进行报告。</w:t>
      </w:r>
    </w:p>
    <w:p w14:paraId="41246B03">
      <w:pPr>
        <w:ind w:firstLine="560" w:firstLineChars="200"/>
        <w:outlineLvl w:val="1"/>
        <w:rPr>
          <w:rFonts w:ascii="Times New Roman" w:hAnsi="Times New Roman" w:eastAsia="黑体" w:cs="Times New Roman"/>
          <w:sz w:val="28"/>
          <w:szCs w:val="28"/>
        </w:rPr>
      </w:pPr>
      <w:r>
        <w:rPr>
          <w:rFonts w:hint="default" w:ascii="Times New Roman" w:hAnsi="Times New Roman" w:eastAsia="黑体"/>
          <w:b w:val="0"/>
          <w:bCs w:val="0"/>
          <w:sz w:val="28"/>
          <w:szCs w:val="28"/>
        </w:rPr>
        <w:t>一</w:t>
      </w:r>
      <w:r>
        <w:rPr>
          <w:rFonts w:hint="eastAsia" w:ascii="Times New Roman" w:hAnsi="Times New Roman" w:eastAsia="黑体"/>
          <w:sz w:val="28"/>
          <w:szCs w:val="28"/>
        </w:rPr>
        <w:t>、</w:t>
      </w:r>
      <w:r>
        <w:rPr>
          <w:rFonts w:hint="default" w:ascii="Times New Roman" w:hAnsi="Times New Roman" w:eastAsia="黑体" w:cs="Times New Roman"/>
          <w:sz w:val="28"/>
          <w:szCs w:val="28"/>
        </w:rPr>
        <w:t>报告要求和报告材料</w:t>
      </w:r>
    </w:p>
    <w:p w14:paraId="5ED83CF7">
      <w:pPr>
        <w:ind w:firstLine="565" w:firstLineChars="202"/>
        <w:rPr>
          <w:rFonts w:ascii="仿宋_GB2312" w:eastAsia="仿宋_GB2312" w:cs="仿宋_GB2312"/>
          <w:sz w:val="28"/>
          <w:szCs w:val="28"/>
        </w:rPr>
      </w:pPr>
      <w:r>
        <w:rPr>
          <w:rFonts w:hint="eastAsia" w:ascii="仿宋_GB2312" w:eastAsia="仿宋_GB2312" w:cs="仿宋_GB2312"/>
          <w:sz w:val="28"/>
          <w:szCs w:val="28"/>
          <w:lang w:val="en-US" w:eastAsia="zh-CN"/>
        </w:rPr>
        <w:t>本所</w:t>
      </w:r>
      <w:r>
        <w:rPr>
          <w:rFonts w:hint="eastAsia" w:ascii="仿宋_GB2312" w:eastAsia="仿宋_GB2312" w:cs="仿宋_GB2312"/>
          <w:sz w:val="28"/>
          <w:szCs w:val="28"/>
        </w:rPr>
        <w:t>认为有必要时，可以要求期货公司的客户向</w:t>
      </w:r>
      <w:r>
        <w:rPr>
          <w:rFonts w:hint="eastAsia" w:ascii="仿宋_GB2312" w:eastAsia="仿宋_GB2312" w:cs="仿宋_GB2312"/>
          <w:sz w:val="28"/>
          <w:szCs w:val="28"/>
          <w:lang w:val="en-US" w:eastAsia="zh-CN"/>
        </w:rPr>
        <w:t>本所</w:t>
      </w:r>
      <w:r>
        <w:rPr>
          <w:rFonts w:hint="eastAsia" w:ascii="仿宋_GB2312" w:eastAsia="仿宋_GB2312" w:cs="仿宋_GB2312"/>
          <w:sz w:val="28"/>
          <w:szCs w:val="28"/>
        </w:rPr>
        <w:t>报告其资金情况、头寸情况、交易用途等，提供以下材料：</w:t>
      </w:r>
    </w:p>
    <w:p w14:paraId="132F0B92">
      <w:pPr>
        <w:ind w:firstLine="565" w:firstLineChars="202"/>
        <w:rPr>
          <w:rFonts w:ascii="仿宋_GB2312" w:eastAsia="仿宋_GB2312" w:cs="仿宋_GB2312"/>
          <w:sz w:val="28"/>
          <w:szCs w:val="28"/>
        </w:rPr>
      </w:pPr>
      <w:r>
        <w:rPr>
          <w:rFonts w:hint="default" w:ascii="Times New Roman" w:hAnsi="Times New Roman" w:eastAsia="仿宋_GB2312"/>
          <w:sz w:val="28"/>
          <w:szCs w:val="28"/>
        </w:rPr>
        <w:t>1.</w:t>
      </w:r>
      <w:r>
        <w:rPr>
          <w:rFonts w:hint="eastAsia" w:ascii="仿宋_GB2312" w:eastAsia="仿宋_GB2312" w:cs="仿宋_GB2312"/>
          <w:sz w:val="28"/>
          <w:szCs w:val="28"/>
        </w:rPr>
        <w:t>《大户持仓报告表》（详见附件</w:t>
      </w:r>
      <w:r>
        <w:rPr>
          <w:rFonts w:hint="eastAsia" w:ascii="仿宋_GB2312" w:eastAsia="仿宋_GB2312" w:cs="仿宋_GB2312"/>
          <w:sz w:val="28"/>
          <w:szCs w:val="28"/>
          <w:lang w:val="en-US" w:eastAsia="zh-CN"/>
        </w:rPr>
        <w:t>六</w:t>
      </w:r>
      <w:r>
        <w:rPr>
          <w:rFonts w:hint="eastAsia" w:ascii="仿宋_GB2312" w:eastAsia="仿宋_GB2312" w:cs="仿宋_GB2312"/>
          <w:sz w:val="28"/>
          <w:szCs w:val="28"/>
        </w:rPr>
        <w:t>），内容包括：期货公司名称、投资者名称和投资者合约账户、持仓量最大的三个合约持仓信息（合约编码、持仓量等）、维持保证金、可动用资金等；</w:t>
      </w:r>
    </w:p>
    <w:p w14:paraId="00493A2C">
      <w:pPr>
        <w:ind w:firstLine="560" w:firstLineChars="200"/>
        <w:rPr>
          <w:rFonts w:ascii="仿宋_GB2312" w:eastAsia="仿宋_GB2312" w:cs="仿宋_GB2312"/>
          <w:sz w:val="28"/>
          <w:szCs w:val="28"/>
        </w:rPr>
      </w:pPr>
      <w:r>
        <w:rPr>
          <w:rFonts w:hint="eastAsia" w:ascii="Times New Roman" w:hAnsi="Times New Roman" w:eastAsia="仿宋_GB2312"/>
          <w:sz w:val="28"/>
          <w:szCs w:val="28"/>
          <w:lang w:val="en-US" w:eastAsia="zh-CN"/>
        </w:rPr>
        <w:t>2</w:t>
      </w:r>
      <w:r>
        <w:rPr>
          <w:rFonts w:hint="default" w:ascii="Times New Roman" w:hAnsi="Times New Roman" w:eastAsia="仿宋_GB2312"/>
          <w:sz w:val="28"/>
          <w:szCs w:val="28"/>
        </w:rPr>
        <w:t>.</w:t>
      </w:r>
      <w:r>
        <w:rPr>
          <w:rFonts w:hint="eastAsia" w:ascii="仿宋_GB2312" w:eastAsia="仿宋_GB2312" w:cs="仿宋_GB2312"/>
          <w:sz w:val="28"/>
          <w:szCs w:val="28"/>
        </w:rPr>
        <w:t>资金来源说明；</w:t>
      </w:r>
    </w:p>
    <w:p w14:paraId="1B879E6E">
      <w:pPr>
        <w:ind w:firstLine="560" w:firstLineChars="200"/>
        <w:rPr>
          <w:rFonts w:ascii="仿宋_GB2312" w:eastAsia="仿宋_GB2312" w:cs="仿宋_GB2312"/>
          <w:sz w:val="28"/>
          <w:szCs w:val="28"/>
        </w:rPr>
      </w:pPr>
      <w:r>
        <w:rPr>
          <w:rFonts w:hint="eastAsia" w:ascii="Times New Roman" w:hAnsi="Times New Roman" w:eastAsia="仿宋_GB2312"/>
          <w:sz w:val="28"/>
          <w:szCs w:val="28"/>
          <w:lang w:val="en-US" w:eastAsia="zh-CN"/>
        </w:rPr>
        <w:t>3</w:t>
      </w:r>
      <w:r>
        <w:rPr>
          <w:rFonts w:hint="default" w:ascii="Times New Roman" w:hAnsi="Times New Roman" w:eastAsia="仿宋_GB2312"/>
          <w:sz w:val="28"/>
          <w:szCs w:val="28"/>
        </w:rPr>
        <w:t>.</w:t>
      </w:r>
      <w:r>
        <w:rPr>
          <w:rFonts w:hint="eastAsia" w:ascii="仿宋_GB2312" w:eastAsia="仿宋_GB2312" w:cs="仿宋_GB2312"/>
          <w:sz w:val="28"/>
          <w:szCs w:val="28"/>
        </w:rPr>
        <w:t>法人投资者的实际控制人资料；</w:t>
      </w:r>
    </w:p>
    <w:p w14:paraId="797EDE2D">
      <w:pPr>
        <w:ind w:firstLine="560" w:firstLineChars="200"/>
        <w:rPr>
          <w:rFonts w:ascii="仿宋_GB2312" w:eastAsia="仿宋_GB2312" w:cs="仿宋_GB2312"/>
          <w:sz w:val="28"/>
          <w:szCs w:val="28"/>
        </w:rPr>
      </w:pPr>
      <w:r>
        <w:rPr>
          <w:rFonts w:hint="eastAsia" w:ascii="Times New Roman" w:hAnsi="Times New Roman" w:eastAsia="仿宋_GB2312"/>
          <w:sz w:val="28"/>
          <w:szCs w:val="28"/>
          <w:lang w:val="en-US" w:eastAsia="zh-CN"/>
        </w:rPr>
        <w:t>4</w:t>
      </w:r>
      <w:r>
        <w:rPr>
          <w:rFonts w:hint="default" w:ascii="Times New Roman" w:hAnsi="Times New Roman" w:eastAsia="仿宋_GB2312"/>
          <w:sz w:val="28"/>
          <w:szCs w:val="28"/>
        </w:rPr>
        <w:t>.</w:t>
      </w:r>
      <w:r>
        <w:rPr>
          <w:rFonts w:hint="eastAsia" w:ascii="仿宋_GB2312" w:eastAsia="仿宋_GB2312" w:cs="仿宋_GB2312"/>
          <w:sz w:val="28"/>
          <w:szCs w:val="28"/>
        </w:rPr>
        <w:t>开户资料及当日结算单据；</w:t>
      </w:r>
    </w:p>
    <w:p w14:paraId="2F5F3281">
      <w:pPr>
        <w:ind w:firstLine="560" w:firstLineChars="200"/>
        <w:rPr>
          <w:rFonts w:ascii="仿宋_GB2312" w:eastAsia="仿宋_GB2312" w:cs="仿宋_GB2312"/>
          <w:sz w:val="28"/>
          <w:szCs w:val="28"/>
        </w:rPr>
      </w:pPr>
      <w:r>
        <w:rPr>
          <w:rFonts w:hint="eastAsia" w:ascii="Times New Roman" w:hAnsi="Times New Roman" w:eastAsia="仿宋_GB2312"/>
          <w:sz w:val="28"/>
          <w:szCs w:val="28"/>
          <w:lang w:val="en-US" w:eastAsia="zh-CN"/>
        </w:rPr>
        <w:t>5</w:t>
      </w:r>
      <w:r>
        <w:rPr>
          <w:rFonts w:hint="default" w:ascii="Times New Roman" w:hAnsi="Times New Roman" w:eastAsia="仿宋_GB2312"/>
          <w:sz w:val="28"/>
          <w:szCs w:val="28"/>
        </w:rPr>
        <w:t>.</w:t>
      </w:r>
      <w:r>
        <w:rPr>
          <w:rFonts w:hint="eastAsia" w:ascii="仿宋_GB2312" w:eastAsia="仿宋_GB2312" w:cs="仿宋_GB2312"/>
          <w:sz w:val="28"/>
          <w:szCs w:val="28"/>
        </w:rPr>
        <w:t>持仓意向，包括行权意愿与可能被行权准备情况说明；</w:t>
      </w:r>
    </w:p>
    <w:p w14:paraId="61DA9063">
      <w:pPr>
        <w:ind w:firstLine="560" w:firstLineChars="200"/>
        <w:rPr>
          <w:rFonts w:ascii="仿宋_GB2312" w:eastAsia="仿宋_GB2312" w:cs="仿宋_GB2312"/>
          <w:sz w:val="28"/>
          <w:szCs w:val="28"/>
        </w:rPr>
      </w:pPr>
      <w:r>
        <w:rPr>
          <w:rFonts w:hint="eastAsia" w:ascii="Times New Roman" w:hAnsi="Times New Roman" w:eastAsia="仿宋_GB2312"/>
          <w:sz w:val="28"/>
          <w:szCs w:val="28"/>
          <w:lang w:val="en-US" w:eastAsia="zh-CN"/>
        </w:rPr>
        <w:t>6</w:t>
      </w:r>
      <w:r>
        <w:rPr>
          <w:rFonts w:hint="default" w:ascii="Times New Roman" w:hAnsi="Times New Roman" w:eastAsia="仿宋_GB2312"/>
          <w:sz w:val="28"/>
          <w:szCs w:val="28"/>
        </w:rPr>
        <w:t>.</w:t>
      </w:r>
      <w:r>
        <w:rPr>
          <w:rFonts w:hint="eastAsia" w:ascii="仿宋_GB2312" w:eastAsia="仿宋_GB2312" w:cs="仿宋_GB2312"/>
          <w:sz w:val="28"/>
          <w:szCs w:val="28"/>
        </w:rPr>
        <w:t>交易所要求提供的其他资料。</w:t>
      </w:r>
    </w:p>
    <w:p w14:paraId="567E5813">
      <w:pPr>
        <w:ind w:firstLine="560" w:firstLineChars="200"/>
        <w:outlineLvl w:val="1"/>
        <w:rPr>
          <w:rFonts w:ascii="Times New Roman" w:hAnsi="Times New Roman" w:eastAsia="黑体" w:cs="Times New Roman"/>
          <w:sz w:val="28"/>
          <w:szCs w:val="28"/>
        </w:rPr>
      </w:pPr>
      <w:r>
        <w:rPr>
          <w:rFonts w:hint="default" w:ascii="Times New Roman" w:hAnsi="Times New Roman" w:eastAsia="黑体"/>
          <w:sz w:val="28"/>
          <w:szCs w:val="28"/>
        </w:rPr>
        <w:t>二、</w:t>
      </w:r>
      <w:r>
        <w:rPr>
          <w:rFonts w:hint="default" w:ascii="Times New Roman" w:hAnsi="Times New Roman" w:eastAsia="黑体" w:cs="Times New Roman"/>
          <w:sz w:val="28"/>
          <w:szCs w:val="28"/>
        </w:rPr>
        <w:t>报告注意事项</w:t>
      </w:r>
    </w:p>
    <w:p w14:paraId="59598AB3">
      <w:pPr>
        <w:ind w:firstLine="560" w:firstLineChars="200"/>
        <w:rPr>
          <w:rFonts w:ascii="仿宋_GB2312" w:eastAsia="仿宋_GB2312" w:cs="仿宋_GB2312"/>
          <w:sz w:val="28"/>
          <w:szCs w:val="28"/>
        </w:rPr>
      </w:pPr>
      <w:r>
        <w:rPr>
          <w:rFonts w:hint="default" w:ascii="Times New Roman" w:hAnsi="Times New Roman" w:eastAsia="仿宋_GB2312"/>
          <w:sz w:val="28"/>
          <w:szCs w:val="28"/>
        </w:rPr>
        <w:t>1.</w:t>
      </w:r>
      <w:r>
        <w:rPr>
          <w:rFonts w:hint="eastAsia" w:ascii="仿宋_GB2312" w:eastAsia="仿宋_GB2312" w:cs="仿宋_GB2312"/>
          <w:sz w:val="28"/>
          <w:szCs w:val="28"/>
        </w:rPr>
        <w:t>计算大户持仓报告标准时，对同一个投资者、期货公司持有的一个或多个合约账户中的所有持仓进行合并计算。</w:t>
      </w:r>
    </w:p>
    <w:p w14:paraId="51A5AB33">
      <w:pPr>
        <w:ind w:firstLine="560" w:firstLineChars="200"/>
        <w:rPr>
          <w:rFonts w:ascii="仿宋_GB2312" w:eastAsia="仿宋_GB2312" w:cs="仿宋_GB2312"/>
          <w:sz w:val="28"/>
          <w:szCs w:val="28"/>
        </w:rPr>
      </w:pPr>
      <w:r>
        <w:rPr>
          <w:rFonts w:hint="eastAsia" w:ascii="Times New Roman" w:hAnsi="Times New Roman" w:eastAsia="仿宋_GB2312"/>
          <w:sz w:val="28"/>
          <w:szCs w:val="28"/>
          <w:lang w:val="en-US" w:eastAsia="zh-CN"/>
        </w:rPr>
        <w:t>2</w:t>
      </w:r>
      <w:r>
        <w:rPr>
          <w:rFonts w:hint="default" w:ascii="Times New Roman" w:hAnsi="Times New Roman" w:eastAsia="仿宋_GB2312"/>
          <w:sz w:val="28"/>
          <w:szCs w:val="28"/>
        </w:rPr>
        <w:t>.</w:t>
      </w:r>
      <w:r>
        <w:rPr>
          <w:rFonts w:hint="eastAsia" w:ascii="仿宋_GB2312" w:eastAsia="仿宋_GB2312" w:cs="仿宋_GB2312"/>
          <w:sz w:val="28"/>
          <w:szCs w:val="28"/>
        </w:rPr>
        <w:t>投资者被交易所要求报告的，交易所将大户报告表发送至期货公司或特殊客户（如基金等）。若报告主体是投资者的，由期货公司发送至客户（对同一投资者在多家期权经营机构开立合约账户的，</w:t>
      </w:r>
      <w:r>
        <w:rPr>
          <w:rFonts w:hint="eastAsia" w:ascii="仿宋_GB2312" w:eastAsia="仿宋_GB2312" w:cs="仿宋_GB2312"/>
          <w:sz w:val="28"/>
          <w:szCs w:val="28"/>
          <w:lang w:val="en-US" w:eastAsia="zh-CN"/>
        </w:rPr>
        <w:t>本所</w:t>
      </w:r>
      <w:r>
        <w:rPr>
          <w:rFonts w:hint="eastAsia" w:ascii="仿宋_GB2312" w:eastAsia="仿宋_GB2312" w:cs="仿宋_GB2312"/>
          <w:sz w:val="28"/>
          <w:szCs w:val="28"/>
        </w:rPr>
        <w:t>根据投资者持仓大小选择期权经营机构）。投资者、期货公司应当于下一交易日15:00前及时向交易所报告。</w:t>
      </w:r>
    </w:p>
    <w:p w14:paraId="5618F1C8">
      <w:pPr>
        <w:ind w:firstLine="560" w:firstLineChars="200"/>
        <w:rPr>
          <w:rFonts w:ascii="仿宋_GB2312" w:eastAsia="仿宋_GB2312" w:cs="仿宋_GB2312"/>
          <w:sz w:val="28"/>
          <w:szCs w:val="28"/>
        </w:rPr>
      </w:pPr>
      <w:r>
        <w:rPr>
          <w:rFonts w:hint="eastAsia" w:ascii="Times New Roman" w:hAnsi="Times New Roman" w:eastAsia="仿宋_GB2312"/>
          <w:sz w:val="28"/>
          <w:szCs w:val="28"/>
          <w:lang w:val="en-US" w:eastAsia="zh-CN"/>
        </w:rPr>
        <w:t>3</w:t>
      </w:r>
      <w:r>
        <w:rPr>
          <w:rFonts w:hint="default" w:ascii="Times New Roman" w:hAnsi="Times New Roman" w:eastAsia="仿宋_GB2312"/>
          <w:sz w:val="28"/>
          <w:szCs w:val="28"/>
        </w:rPr>
        <w:t>.</w:t>
      </w:r>
      <w:r>
        <w:rPr>
          <w:rFonts w:hint="eastAsia" w:ascii="仿宋_GB2312" w:eastAsia="仿宋_GB2312" w:cs="仿宋_GB2312"/>
          <w:sz w:val="28"/>
          <w:szCs w:val="28"/>
        </w:rPr>
        <w:t>特殊客户（如基金等）可直接向交易所报告，其他客户由期货公司代为向交易所报告，期货公司应对客户提供的资料进行审核，并保证客户所提供资料的真实性和准确性。客户未按要求报告的，期货公司应当向交易所报告该客户持仓情况。</w:t>
      </w:r>
    </w:p>
    <w:p w14:paraId="493CD619">
      <w:pPr>
        <w:ind w:firstLine="560" w:firstLineChars="200"/>
        <w:rPr>
          <w:rFonts w:ascii="仿宋_GB2312" w:eastAsia="仿宋_GB2312" w:cs="仿宋_GB2312"/>
          <w:sz w:val="28"/>
          <w:szCs w:val="28"/>
        </w:rPr>
      </w:pPr>
      <w:r>
        <w:rPr>
          <w:rFonts w:hint="eastAsia" w:ascii="Times New Roman" w:hAnsi="Times New Roman" w:eastAsia="仿宋_GB2312"/>
          <w:sz w:val="28"/>
          <w:szCs w:val="28"/>
          <w:lang w:val="en-US" w:eastAsia="zh-CN"/>
        </w:rPr>
        <w:t>4</w:t>
      </w:r>
      <w:r>
        <w:rPr>
          <w:rFonts w:hint="default" w:ascii="Times New Roman" w:hAnsi="Times New Roman" w:eastAsia="仿宋_GB2312"/>
          <w:sz w:val="28"/>
          <w:szCs w:val="28"/>
        </w:rPr>
        <w:t>.</w:t>
      </w:r>
      <w:r>
        <w:rPr>
          <w:rFonts w:hint="eastAsia" w:ascii="仿宋_GB2312" w:eastAsia="仿宋_GB2312" w:cs="仿宋_GB2312"/>
          <w:sz w:val="28"/>
          <w:szCs w:val="28"/>
        </w:rPr>
        <w:t>交易所对期货公司或者投资者提供的资料进行核查后，将视情况通知期货公司或客户再次报告或者补充报告。</w:t>
      </w:r>
    </w:p>
    <w:p w14:paraId="28DF1FB9">
      <w:pPr>
        <w:spacing w:beforeLines="50" w:afterLines="50" w:line="360" w:lineRule="auto"/>
        <w:outlineLvl w:val="0"/>
        <w:rPr>
          <w:rFonts w:ascii="黑体" w:hAnsi="黑体" w:eastAsia="黑体"/>
          <w:b/>
          <w:bCs/>
          <w:sz w:val="32"/>
          <w:szCs w:val="32"/>
        </w:rPr>
      </w:pPr>
    </w:p>
    <w:p w14:paraId="0B8D1063">
      <w:pPr>
        <w:spacing w:beforeLines="50" w:afterLines="50" w:line="360" w:lineRule="auto"/>
        <w:outlineLvl w:val="0"/>
        <w:rPr>
          <w:rFonts w:ascii="黑体" w:hAnsi="黑体" w:eastAsia="黑体"/>
          <w:b/>
          <w:bCs/>
          <w:sz w:val="32"/>
          <w:szCs w:val="32"/>
        </w:rPr>
      </w:pPr>
    </w:p>
    <w:p w14:paraId="1CA05D65">
      <w:pPr>
        <w:spacing w:beforeLines="50" w:afterLines="50" w:line="360" w:lineRule="auto"/>
        <w:outlineLvl w:val="0"/>
        <w:rPr>
          <w:rFonts w:ascii="黑体" w:hAnsi="黑体" w:eastAsia="黑体"/>
          <w:b/>
          <w:bCs/>
          <w:sz w:val="32"/>
          <w:szCs w:val="32"/>
        </w:rPr>
      </w:pPr>
    </w:p>
    <w:p w14:paraId="45E04B53">
      <w:pPr>
        <w:spacing w:beforeLines="50" w:afterLines="50" w:line="360" w:lineRule="auto"/>
        <w:outlineLvl w:val="0"/>
        <w:rPr>
          <w:rFonts w:ascii="黑体" w:hAnsi="黑体" w:eastAsia="黑体"/>
          <w:b/>
          <w:bCs/>
          <w:sz w:val="32"/>
          <w:szCs w:val="32"/>
        </w:rPr>
      </w:pPr>
    </w:p>
    <w:p w14:paraId="5D286F48">
      <w:pPr>
        <w:spacing w:beforeLines="50" w:afterLines="50" w:line="360" w:lineRule="auto"/>
        <w:outlineLvl w:val="0"/>
        <w:rPr>
          <w:rFonts w:ascii="黑体" w:hAnsi="黑体" w:eastAsia="黑体"/>
          <w:b/>
          <w:bCs/>
          <w:sz w:val="32"/>
          <w:szCs w:val="32"/>
        </w:rPr>
      </w:pPr>
    </w:p>
    <w:p w14:paraId="28D32C72">
      <w:pPr>
        <w:spacing w:beforeLines="50" w:afterLines="50" w:line="360" w:lineRule="auto"/>
        <w:outlineLvl w:val="0"/>
        <w:rPr>
          <w:rFonts w:ascii="黑体" w:hAnsi="黑体" w:eastAsia="黑体"/>
          <w:b/>
          <w:bCs/>
          <w:sz w:val="32"/>
          <w:szCs w:val="32"/>
        </w:rPr>
      </w:pPr>
    </w:p>
    <w:p w14:paraId="36D32809">
      <w:pPr>
        <w:spacing w:beforeLines="50" w:afterLines="50" w:line="360" w:lineRule="auto"/>
        <w:outlineLvl w:val="0"/>
        <w:rPr>
          <w:rFonts w:ascii="黑体" w:hAnsi="黑体" w:eastAsia="黑体"/>
          <w:b/>
          <w:bCs/>
          <w:sz w:val="32"/>
          <w:szCs w:val="32"/>
        </w:rPr>
      </w:pPr>
    </w:p>
    <w:p w14:paraId="0055FE1F">
      <w:pPr>
        <w:spacing w:beforeLines="50" w:afterLines="50" w:line="360" w:lineRule="auto"/>
        <w:outlineLvl w:val="0"/>
        <w:rPr>
          <w:rFonts w:ascii="黑体" w:hAnsi="黑体" w:eastAsia="黑体"/>
          <w:b/>
          <w:bCs/>
          <w:sz w:val="32"/>
          <w:szCs w:val="32"/>
        </w:rPr>
      </w:pPr>
    </w:p>
    <w:p w14:paraId="54AAD473">
      <w:pPr>
        <w:spacing w:beforeLines="50" w:afterLines="50" w:line="360" w:lineRule="auto"/>
        <w:outlineLvl w:val="0"/>
        <w:rPr>
          <w:rFonts w:ascii="黑体" w:hAnsi="黑体" w:eastAsia="黑体"/>
          <w:b/>
          <w:bCs/>
          <w:sz w:val="32"/>
          <w:szCs w:val="32"/>
        </w:rPr>
      </w:pPr>
    </w:p>
    <w:p w14:paraId="572B6CA8">
      <w:pPr>
        <w:spacing w:beforeLines="50" w:afterLines="50" w:line="360" w:lineRule="auto"/>
        <w:outlineLvl w:val="0"/>
        <w:rPr>
          <w:rFonts w:ascii="黑体" w:hAnsi="黑体" w:eastAsia="黑体"/>
          <w:b/>
          <w:bCs/>
          <w:sz w:val="32"/>
          <w:szCs w:val="32"/>
        </w:rPr>
      </w:pPr>
    </w:p>
    <w:p w14:paraId="65434121">
      <w:pPr>
        <w:spacing w:beforeLines="50" w:afterLines="50" w:line="360" w:lineRule="auto"/>
        <w:outlineLvl w:val="0"/>
        <w:rPr>
          <w:rFonts w:ascii="黑体" w:hAnsi="黑体" w:eastAsia="黑体"/>
          <w:b/>
          <w:bCs/>
          <w:sz w:val="32"/>
          <w:szCs w:val="32"/>
        </w:rPr>
      </w:pPr>
    </w:p>
    <w:p w14:paraId="261B173C">
      <w:pPr>
        <w:spacing w:beforeLines="50" w:afterLines="50" w:line="360" w:lineRule="auto"/>
        <w:outlineLvl w:val="0"/>
        <w:rPr>
          <w:rFonts w:ascii="黑体" w:hAnsi="黑体" w:eastAsia="黑体"/>
          <w:b/>
          <w:bCs/>
          <w:sz w:val="32"/>
          <w:szCs w:val="32"/>
        </w:rPr>
      </w:pPr>
    </w:p>
    <w:p w14:paraId="2C230EE6">
      <w:pPr>
        <w:spacing w:beforeLines="50" w:afterLines="50" w:line="360" w:lineRule="auto"/>
        <w:outlineLvl w:val="0"/>
        <w:rPr>
          <w:rFonts w:ascii="黑体" w:hAnsi="黑体" w:eastAsia="黑体"/>
          <w:b/>
          <w:bCs/>
          <w:sz w:val="32"/>
          <w:szCs w:val="32"/>
        </w:rPr>
      </w:pPr>
    </w:p>
    <w:p w14:paraId="72BCE08D">
      <w:pPr>
        <w:spacing w:before="156" w:beforeLines="50" w:after="156" w:afterLines="50"/>
        <w:jc w:val="center"/>
        <w:outlineLvl w:val="0"/>
        <w:rPr>
          <w:rFonts w:ascii="Times New Roman" w:hAnsi="Times New Roman" w:eastAsia="黑体"/>
          <w:b/>
          <w:bCs/>
          <w:sz w:val="32"/>
          <w:szCs w:val="32"/>
        </w:rPr>
      </w:pPr>
      <w:bookmarkStart w:id="402" w:name="_Toc2574"/>
      <w:bookmarkStart w:id="403" w:name="_Toc2844"/>
      <w:bookmarkStart w:id="404" w:name="_Toc31007"/>
      <w:bookmarkStart w:id="405" w:name="_Toc10436"/>
      <w:bookmarkStart w:id="406" w:name="_Toc23947019"/>
      <w:bookmarkStart w:id="407" w:name="_Toc408746763"/>
      <w:r>
        <w:rPr>
          <w:rFonts w:hint="default" w:ascii="Times New Roman" w:hAnsi="Times New Roman" w:eastAsia="黑体"/>
          <w:b/>
          <w:bCs/>
          <w:sz w:val="32"/>
          <w:szCs w:val="32"/>
        </w:rPr>
        <w:t>第十五章 应急预案</w:t>
      </w:r>
      <w:bookmarkEnd w:id="402"/>
      <w:bookmarkEnd w:id="403"/>
      <w:bookmarkEnd w:id="404"/>
      <w:bookmarkEnd w:id="405"/>
      <w:bookmarkEnd w:id="406"/>
      <w:bookmarkEnd w:id="407"/>
    </w:p>
    <w:p w14:paraId="55BC3FDA">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为了维护期货公司和客户利益，保证</w:t>
      </w:r>
      <w:r>
        <w:rPr>
          <w:rFonts w:hint="eastAsia" w:ascii="仿宋_GB2312" w:hAnsi="Times New Roman" w:eastAsia="仿宋_GB2312"/>
          <w:sz w:val="28"/>
          <w:szCs w:val="28"/>
          <w:lang w:val="en-US" w:eastAsia="zh-CN"/>
        </w:rPr>
        <w:t>股票</w:t>
      </w:r>
      <w:r>
        <w:rPr>
          <w:rFonts w:hint="eastAsia" w:ascii="仿宋_GB2312" w:hAnsi="Times New Roman" w:eastAsia="仿宋_GB2312"/>
          <w:sz w:val="28"/>
          <w:szCs w:val="28"/>
        </w:rPr>
        <w:t>期权业务持续、稳定和健康发展，期货公司应制定《期权业务突发事件应急预案》。期货公司应急工作必须做到统一指挥、密切协作、责任明晰、预防为主、信息共享等，必须保证及时性与有效性。期货公司处置应急事件应及时通知到客户，力争做到损失及影响最小化。</w:t>
      </w:r>
    </w:p>
    <w:p w14:paraId="5A30BD1C">
      <w:pPr>
        <w:spacing w:beforeLines="50" w:afterLines="50" w:line="360" w:lineRule="auto"/>
        <w:ind w:firstLine="560" w:firstLineChars="200"/>
        <w:rPr>
          <w:rFonts w:ascii="仿宋_GB2312" w:hAnsi="Times New Roman" w:eastAsia="仿宋_GB2312"/>
          <w:sz w:val="28"/>
          <w:szCs w:val="28"/>
        </w:rPr>
      </w:pPr>
      <w:r>
        <w:rPr>
          <w:rFonts w:hint="eastAsia" w:ascii="仿宋_GB2312" w:hAnsi="Times New Roman" w:eastAsia="仿宋_GB2312"/>
          <w:sz w:val="28"/>
          <w:szCs w:val="28"/>
        </w:rPr>
        <w:t>期货公司根据应急需要，应成立应急工作办公室。根据应急事件发生后的不同情况，需通过公司网站、电话等方式，做好相关客户的沟通与安抚工作，并正确引导舆论。期货公司还应做好应急事件后期处置工作，包括原因调查、责任追究、损失评估和改进措施等。期货公司需对以下应急事件制定相应的应急预案：</w:t>
      </w:r>
    </w:p>
    <w:p w14:paraId="618C60B3">
      <w:pPr>
        <w:ind w:firstLine="560"/>
        <w:rPr>
          <w:rFonts w:hint="eastAsia" w:ascii="Times New Roman" w:hAnsi="Times New Roman" w:eastAsia="黑体"/>
          <w:sz w:val="28"/>
          <w:szCs w:val="28"/>
        </w:rPr>
      </w:pPr>
      <w:bookmarkStart w:id="408" w:name="_Toc24667"/>
      <w:bookmarkStart w:id="409" w:name="_Toc408746764"/>
      <w:bookmarkStart w:id="410" w:name="_Toc9942"/>
      <w:bookmarkStart w:id="411" w:name="_Toc23947020"/>
      <w:bookmarkStart w:id="412" w:name="_Toc31703"/>
      <w:bookmarkStart w:id="413" w:name="_Toc30655"/>
      <w:r>
        <w:rPr>
          <w:rFonts w:hint="eastAsia" w:ascii="Times New Roman" w:hAnsi="Times New Roman" w:eastAsia="黑体"/>
          <w:sz w:val="28"/>
          <w:szCs w:val="28"/>
        </w:rPr>
        <w:t>一、业务人员操作应急事件</w:t>
      </w:r>
      <w:bookmarkEnd w:id="408"/>
      <w:bookmarkEnd w:id="409"/>
      <w:bookmarkEnd w:id="410"/>
      <w:bookmarkEnd w:id="411"/>
      <w:bookmarkEnd w:id="412"/>
      <w:bookmarkEnd w:id="413"/>
    </w:p>
    <w:p w14:paraId="2F7D81B9">
      <w:pPr>
        <w:spacing w:beforeLines="-2147483648" w:afterLines="-2147483648" w:line="240" w:lineRule="auto"/>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业务人员操作应急事件包括但不限于：</w:t>
      </w:r>
    </w:p>
    <w:p w14:paraId="1F6B73F6">
      <w:pPr>
        <w:spacing w:beforeLines="-2147483648" w:afterLines="-2147483648" w:line="24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业务人员出现向</w:t>
      </w:r>
      <w:r>
        <w:rPr>
          <w:rFonts w:hint="default" w:ascii="Times New Roman" w:hAnsi="Times New Roman" w:eastAsia="仿宋_GB2312"/>
          <w:sz w:val="28"/>
          <w:szCs w:val="28"/>
          <w:lang w:val="en-US" w:eastAsia="zh-CN"/>
        </w:rPr>
        <w:t>本所</w:t>
      </w:r>
      <w:r>
        <w:rPr>
          <w:rFonts w:hint="default" w:ascii="Times New Roman" w:hAnsi="Times New Roman" w:eastAsia="仿宋_GB2312"/>
          <w:sz w:val="28"/>
          <w:szCs w:val="28"/>
        </w:rPr>
        <w:t>报送数据迟报、漏报、错报等情况，比如期权业务人员在操作中将客户账户指定关系指定错误等。</w:t>
      </w:r>
    </w:p>
    <w:p w14:paraId="6C294D21">
      <w:pPr>
        <w:spacing w:beforeLines="-2147483648" w:afterLines="-2147483648" w:line="24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ascii="Times New Roman" w:hAnsi="Times New Roman" w:eastAsia="仿宋_GB2312"/>
          <w:sz w:val="28"/>
          <w:szCs w:val="28"/>
        </w:rPr>
        <w:t xml:space="preserve"> 股票</w:t>
      </w:r>
      <w:r>
        <w:rPr>
          <w:rFonts w:hint="default" w:ascii="Times New Roman" w:hAnsi="Times New Roman" w:eastAsia="仿宋_GB2312"/>
          <w:sz w:val="28"/>
          <w:szCs w:val="28"/>
        </w:rPr>
        <w:t>期权交易管理系统的交易监控参数等业务参数设置错误、协议行权、清算交收、利息结算等出现差错等；</w:t>
      </w:r>
    </w:p>
    <w:p w14:paraId="182231FE">
      <w:pPr>
        <w:spacing w:beforeLines="-2147483648" w:afterLines="-2147483648" w:line="24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其他业务操作不当造成的风险。</w:t>
      </w:r>
    </w:p>
    <w:p w14:paraId="4663447B">
      <w:pPr>
        <w:ind w:firstLine="560"/>
        <w:rPr>
          <w:rFonts w:hint="eastAsia" w:ascii="Times New Roman" w:hAnsi="Times New Roman" w:eastAsia="黑体"/>
          <w:sz w:val="28"/>
          <w:szCs w:val="28"/>
        </w:rPr>
      </w:pPr>
      <w:bookmarkStart w:id="414" w:name="_Toc408746765"/>
      <w:bookmarkStart w:id="415" w:name="_Toc27552"/>
      <w:bookmarkStart w:id="416" w:name="_Toc31993"/>
      <w:bookmarkStart w:id="417" w:name="_Toc15166"/>
      <w:bookmarkStart w:id="418" w:name="_Toc23947021"/>
      <w:bookmarkStart w:id="419" w:name="_Toc7376"/>
      <w:r>
        <w:rPr>
          <w:rFonts w:hint="eastAsia" w:ascii="Times New Roman" w:hAnsi="Times New Roman" w:eastAsia="黑体"/>
          <w:sz w:val="28"/>
          <w:szCs w:val="28"/>
        </w:rPr>
        <w:t>二、系统技术应急事件</w:t>
      </w:r>
      <w:bookmarkEnd w:id="414"/>
      <w:bookmarkEnd w:id="415"/>
      <w:bookmarkEnd w:id="416"/>
      <w:bookmarkEnd w:id="417"/>
      <w:bookmarkEnd w:id="418"/>
      <w:bookmarkEnd w:id="419"/>
    </w:p>
    <w:p w14:paraId="5B4589AD">
      <w:pPr>
        <w:spacing w:beforeLines="-2147483648" w:afterLines="-2147483648" w:line="240" w:lineRule="auto"/>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系统技术应急事件包括但不限于：</w:t>
      </w:r>
    </w:p>
    <w:p w14:paraId="296C804E">
      <w:pPr>
        <w:spacing w:beforeLines="-2147483648" w:afterLines="-2147483648" w:line="24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hint="default" w:ascii="Times New Roman" w:hAnsi="Times New Roman" w:eastAsia="仿宋_GB2312"/>
          <w:sz w:val="28"/>
          <w:szCs w:val="28"/>
        </w:rPr>
        <w:t>交易系统等技术系统等发生软、硬件故障，影响系统正常运行、无常正常开展交易与结算业务等；</w:t>
      </w:r>
    </w:p>
    <w:p w14:paraId="640DE968">
      <w:pPr>
        <w:spacing w:beforeLines="-2147483648" w:afterLines="-2147483648" w:line="24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hint="default" w:ascii="Times New Roman" w:hAnsi="Times New Roman" w:eastAsia="仿宋_GB2312"/>
          <w:sz w:val="28"/>
          <w:szCs w:val="28"/>
        </w:rPr>
        <w:t>报盘系统发生故障等；</w:t>
      </w:r>
    </w:p>
    <w:p w14:paraId="17DA86D6">
      <w:pPr>
        <w:spacing w:beforeLines="-2147483648" w:afterLines="-2147483648" w:line="24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w:t>
      </w:r>
      <w:r>
        <w:rPr>
          <w:rFonts w:hint="default" w:ascii="Times New Roman" w:hAnsi="Times New Roman" w:eastAsia="仿宋_GB2312"/>
          <w:sz w:val="28"/>
          <w:szCs w:val="28"/>
        </w:rPr>
        <w:t>行情系统发生故障等；</w:t>
      </w:r>
    </w:p>
    <w:p w14:paraId="7C681DBE">
      <w:pPr>
        <w:spacing w:beforeLines="-2147483648" w:afterLines="-2147483648" w:line="24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hint="default" w:ascii="Times New Roman" w:hAnsi="Times New Roman" w:eastAsia="仿宋_GB2312"/>
          <w:sz w:val="28"/>
          <w:szCs w:val="28"/>
        </w:rPr>
        <w:t>网上交易系统故障，导致和行情主站连不上、行情数据未更新、无法发送行情给网上交易行情服务器、应用程序提示的各种错误、客户端无法连接委托主站、无法连接目的主机等；</w:t>
      </w:r>
    </w:p>
    <w:p w14:paraId="3160E5D1">
      <w:pPr>
        <w:spacing w:beforeLines="-2147483648" w:afterLines="-2147483648" w:line="24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w:t>
      </w:r>
      <w:r>
        <w:rPr>
          <w:rFonts w:hint="default" w:ascii="Times New Roman" w:hAnsi="Times New Roman" w:eastAsia="仿宋_GB2312"/>
          <w:sz w:val="28"/>
          <w:szCs w:val="28"/>
        </w:rPr>
        <w:t>通信系统发生故障导致信息交流中断；</w:t>
      </w:r>
    </w:p>
    <w:p w14:paraId="2BD6D5EB">
      <w:pPr>
        <w:spacing w:beforeLines="-2147483648" w:afterLines="-2147483648" w:line="240" w:lineRule="auto"/>
        <w:ind w:firstLine="560" w:firstLineChars="200"/>
        <w:rPr>
          <w:rFonts w:ascii="Times New Roman" w:hAnsi="Times New Roman" w:eastAsia="仿宋_GB2312"/>
          <w:sz w:val="28"/>
          <w:szCs w:val="28"/>
        </w:rPr>
      </w:pPr>
      <w:r>
        <w:rPr>
          <w:rFonts w:hint="default" w:ascii="Times New Roman" w:hAnsi="Times New Roman" w:eastAsia="仿宋_GB2312"/>
          <w:sz w:val="28"/>
          <w:szCs w:val="28"/>
          <w:lang w:val="en-US" w:eastAsia="zh-CN"/>
        </w:rPr>
        <w:t>6</w:t>
      </w:r>
      <w:r>
        <w:rPr>
          <w:rFonts w:hint="eastAsia" w:ascii="Times New Roman" w:hAnsi="Times New Roman" w:eastAsia="仿宋_GB2312"/>
          <w:sz w:val="28"/>
          <w:szCs w:val="28"/>
        </w:rPr>
        <w:t>.</w:t>
      </w:r>
      <w:r>
        <w:rPr>
          <w:rFonts w:hint="default" w:ascii="Times New Roman" w:hAnsi="Times New Roman" w:eastAsia="仿宋_GB2312"/>
          <w:sz w:val="28"/>
          <w:szCs w:val="28"/>
        </w:rPr>
        <w:t>电力系统供应中断影响正常交易；</w:t>
      </w:r>
    </w:p>
    <w:p w14:paraId="0F1484DA">
      <w:pPr>
        <w:spacing w:beforeLines="-2147483648" w:afterLines="-2147483648" w:line="240" w:lineRule="auto"/>
        <w:ind w:firstLine="560" w:firstLineChars="200"/>
        <w:rPr>
          <w:rFonts w:ascii="Times New Roman" w:hAnsi="Times New Roman" w:eastAsia="仿宋_GB2312"/>
          <w:sz w:val="28"/>
          <w:szCs w:val="28"/>
        </w:rPr>
      </w:pPr>
      <w:r>
        <w:rPr>
          <w:rFonts w:hint="default" w:ascii="Times New Roman" w:hAnsi="Times New Roman" w:eastAsia="仿宋_GB2312"/>
          <w:sz w:val="28"/>
          <w:szCs w:val="28"/>
          <w:lang w:val="en-US" w:eastAsia="zh-CN"/>
        </w:rPr>
        <w:t>7</w:t>
      </w:r>
      <w:r>
        <w:rPr>
          <w:rFonts w:hint="eastAsia" w:ascii="Times New Roman" w:hAnsi="Times New Roman" w:eastAsia="仿宋_GB2312"/>
          <w:sz w:val="28"/>
          <w:szCs w:val="28"/>
        </w:rPr>
        <w:t>.</w:t>
      </w:r>
      <w:r>
        <w:rPr>
          <w:rFonts w:hint="default" w:ascii="Times New Roman" w:hAnsi="Times New Roman" w:eastAsia="仿宋_GB2312"/>
          <w:sz w:val="28"/>
          <w:szCs w:val="28"/>
        </w:rPr>
        <w:t>发生不可抗力，导致主机房发生灾难事件等。</w:t>
      </w:r>
    </w:p>
    <w:p w14:paraId="5348D0D9">
      <w:pPr>
        <w:ind w:firstLine="560"/>
        <w:rPr>
          <w:rFonts w:hint="eastAsia" w:ascii="Times New Roman" w:hAnsi="Times New Roman" w:eastAsia="黑体"/>
          <w:sz w:val="28"/>
          <w:szCs w:val="28"/>
        </w:rPr>
      </w:pPr>
      <w:bookmarkStart w:id="420" w:name="_Toc23947022"/>
      <w:bookmarkStart w:id="421" w:name="_Toc10085"/>
      <w:bookmarkStart w:id="422" w:name="_Toc25255"/>
      <w:bookmarkStart w:id="423" w:name="_Toc408746766"/>
      <w:bookmarkStart w:id="424" w:name="_Toc5603"/>
      <w:bookmarkStart w:id="425" w:name="_Toc12784"/>
      <w:r>
        <w:rPr>
          <w:rFonts w:hint="eastAsia" w:ascii="Times New Roman" w:hAnsi="Times New Roman" w:eastAsia="黑体"/>
          <w:sz w:val="28"/>
          <w:szCs w:val="28"/>
        </w:rPr>
        <w:t>三、交易异常事件</w:t>
      </w:r>
      <w:bookmarkEnd w:id="420"/>
      <w:bookmarkEnd w:id="421"/>
      <w:bookmarkEnd w:id="422"/>
      <w:bookmarkEnd w:id="423"/>
      <w:bookmarkEnd w:id="424"/>
      <w:bookmarkEnd w:id="425"/>
    </w:p>
    <w:p w14:paraId="1FF08C0F">
      <w:pPr>
        <w:spacing w:beforeLines="-2147483648" w:afterLines="-2147483648" w:line="240" w:lineRule="auto"/>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针对《交易规则》中规定的</w:t>
      </w:r>
      <w:r>
        <w:rPr>
          <w:rFonts w:hint="default" w:ascii="Times New Roman" w:hAnsi="Times New Roman" w:eastAsia="仿宋_GB2312"/>
          <w:sz w:val="28"/>
          <w:szCs w:val="28"/>
          <w:lang w:val="en-US" w:eastAsia="zh-CN"/>
        </w:rPr>
        <w:t>本所</w:t>
      </w:r>
      <w:r>
        <w:rPr>
          <w:rFonts w:hint="default" w:ascii="Times New Roman" w:hAnsi="Times New Roman" w:eastAsia="仿宋_GB2312"/>
          <w:sz w:val="28"/>
          <w:szCs w:val="28"/>
        </w:rPr>
        <w:t>或中国结算采取的风险控制措施可能需要公司作出的配合、衔接以及对公司产生的影响，制定相应的应急处置管理制度。</w:t>
      </w:r>
    </w:p>
    <w:p w14:paraId="7DB276EE">
      <w:pPr>
        <w:ind w:firstLine="560"/>
        <w:rPr>
          <w:rFonts w:hint="eastAsia" w:ascii="Times New Roman" w:hAnsi="Times New Roman" w:eastAsia="黑体"/>
          <w:sz w:val="28"/>
          <w:szCs w:val="28"/>
        </w:rPr>
      </w:pPr>
      <w:bookmarkStart w:id="426" w:name="_Toc10123"/>
      <w:bookmarkStart w:id="427" w:name="_Toc13896"/>
      <w:bookmarkStart w:id="428" w:name="_Toc5526"/>
      <w:bookmarkStart w:id="429" w:name="_Toc23947023"/>
      <w:bookmarkStart w:id="430" w:name="_Toc16456"/>
      <w:bookmarkStart w:id="431" w:name="_Toc408746767"/>
      <w:r>
        <w:rPr>
          <w:rFonts w:hint="eastAsia" w:ascii="Times New Roman" w:hAnsi="Times New Roman" w:eastAsia="黑体"/>
          <w:sz w:val="28"/>
          <w:szCs w:val="28"/>
        </w:rPr>
        <w:t>四、结算异常事件</w:t>
      </w:r>
      <w:bookmarkEnd w:id="426"/>
      <w:bookmarkEnd w:id="427"/>
      <w:bookmarkEnd w:id="428"/>
      <w:bookmarkEnd w:id="429"/>
      <w:bookmarkEnd w:id="430"/>
      <w:bookmarkEnd w:id="431"/>
    </w:p>
    <w:p w14:paraId="2EC99039">
      <w:pPr>
        <w:spacing w:beforeLines="50" w:afterLines="50" w:line="360" w:lineRule="auto"/>
        <w:ind w:firstLine="560" w:firstLineChars="200"/>
        <w:rPr>
          <w:rFonts w:ascii="Times New Roman" w:hAnsi="Times New Roman" w:eastAsia="仿宋_GB2312"/>
          <w:sz w:val="28"/>
          <w:szCs w:val="28"/>
        </w:rPr>
      </w:pPr>
      <w:r>
        <w:rPr>
          <w:rFonts w:hint="default" w:ascii="Times New Roman" w:hAnsi="Times New Roman" w:eastAsia="仿宋_GB2312"/>
          <w:sz w:val="28"/>
          <w:szCs w:val="28"/>
        </w:rPr>
        <w:t>因</w:t>
      </w:r>
      <w:r>
        <w:rPr>
          <w:rFonts w:hint="default" w:ascii="Times New Roman" w:hAnsi="Times New Roman" w:eastAsia="仿宋_GB2312"/>
          <w:sz w:val="28"/>
          <w:szCs w:val="28"/>
          <w:lang w:val="en-US" w:eastAsia="zh-CN"/>
        </w:rPr>
        <w:t>本所</w:t>
      </w:r>
      <w:r>
        <w:rPr>
          <w:rFonts w:hint="default" w:ascii="Times New Roman" w:hAnsi="Times New Roman" w:eastAsia="仿宋_GB2312"/>
          <w:sz w:val="28"/>
          <w:szCs w:val="28"/>
        </w:rPr>
        <w:t>或中国结算数据及其他原因造成期权结算延迟时，期货公司应启动相关的风险处置流程，保障期货公司夜盘或其他业务的开展。</w:t>
      </w:r>
    </w:p>
    <w:p w14:paraId="31E4C975">
      <w:pPr>
        <w:pStyle w:val="5"/>
        <w:numPr>
          <w:ilvl w:val="0"/>
          <w:numId w:val="4"/>
        </w:numPr>
        <w:ind w:firstLine="0" w:firstLineChars="0"/>
        <w:jc w:val="both"/>
        <w:rPr>
          <w:rFonts w:hint="eastAsia" w:ascii="黑体" w:hAnsi="黑体" w:eastAsia="黑体"/>
          <w:sz w:val="32"/>
        </w:rPr>
      </w:pPr>
      <w:r>
        <w:rPr>
          <w:rFonts w:hint="eastAsia" w:ascii="仿宋_GB2312"/>
          <w:szCs w:val="28"/>
        </w:rPr>
        <w:br w:type="page"/>
      </w:r>
      <w:bookmarkEnd w:id="236"/>
      <w:bookmarkEnd w:id="237"/>
      <w:bookmarkEnd w:id="238"/>
      <w:bookmarkEnd w:id="239"/>
      <w:bookmarkStart w:id="432" w:name="_Toc406439137"/>
      <w:bookmarkStart w:id="433" w:name="_Toc408300999"/>
      <w:bookmarkStart w:id="434" w:name="_Toc406438952"/>
      <w:bookmarkStart w:id="435" w:name="_Toc408749925"/>
      <w:bookmarkStart w:id="436" w:name="_Toc406438912"/>
      <w:bookmarkStart w:id="437" w:name="_Toc406436503"/>
      <w:bookmarkStart w:id="438" w:name="_Toc23947024"/>
      <w:bookmarkStart w:id="439" w:name="_Toc9440"/>
      <w:bookmarkStart w:id="440" w:name="_Toc23943"/>
      <w:bookmarkStart w:id="441" w:name="_Toc26449"/>
      <w:bookmarkStart w:id="442" w:name="_Toc17931"/>
      <w:r>
        <w:rPr>
          <w:rFonts w:hint="eastAsia" w:ascii="黑体" w:hAnsi="黑体" w:eastAsia="黑体"/>
          <w:sz w:val="32"/>
        </w:rPr>
        <w:t>交易信息及提醒</w:t>
      </w:r>
      <w:bookmarkEnd w:id="432"/>
      <w:bookmarkEnd w:id="433"/>
      <w:bookmarkEnd w:id="434"/>
      <w:bookmarkEnd w:id="435"/>
      <w:bookmarkEnd w:id="436"/>
      <w:bookmarkEnd w:id="437"/>
      <w:r>
        <w:rPr>
          <w:rFonts w:hint="eastAsia" w:ascii="黑体" w:hAnsi="黑体" w:eastAsia="黑体"/>
          <w:sz w:val="32"/>
        </w:rPr>
        <w:t>及</w:t>
      </w:r>
      <w:r>
        <w:rPr>
          <w:rFonts w:hint="eastAsia" w:ascii="黑体" w:hAnsi="黑体" w:eastAsia="黑体"/>
          <w:sz w:val="32"/>
          <w:lang w:val="en-US" w:eastAsia="zh-CN"/>
        </w:rPr>
        <w:t>股票</w:t>
      </w:r>
      <w:r>
        <w:rPr>
          <w:rFonts w:hint="eastAsia" w:ascii="黑体" w:hAnsi="黑体" w:eastAsia="黑体"/>
          <w:sz w:val="32"/>
        </w:rPr>
        <w:t>期权基础信息接口文件</w:t>
      </w:r>
      <w:bookmarkEnd w:id="438"/>
    </w:p>
    <w:p w14:paraId="4AF834CE">
      <w:pPr>
        <w:pStyle w:val="5"/>
        <w:ind w:firstLine="0" w:firstLineChars="0"/>
        <w:jc w:val="center"/>
        <w:rPr>
          <w:rFonts w:ascii="黑体" w:hAnsi="黑体" w:eastAsia="黑体"/>
          <w:sz w:val="32"/>
        </w:rPr>
      </w:pPr>
      <w:bookmarkStart w:id="443" w:name="_Toc23947025"/>
      <w:r>
        <w:rPr>
          <w:rFonts w:hint="eastAsia" w:ascii="黑体" w:hAnsi="黑体" w:eastAsia="黑体"/>
          <w:sz w:val="32"/>
        </w:rPr>
        <w:t>说明</w:t>
      </w:r>
      <w:bookmarkEnd w:id="439"/>
      <w:bookmarkEnd w:id="440"/>
      <w:bookmarkEnd w:id="441"/>
      <w:bookmarkEnd w:id="442"/>
      <w:bookmarkEnd w:id="443"/>
    </w:p>
    <w:p w14:paraId="48822E77">
      <w:pPr>
        <w:ind w:firstLine="560"/>
        <w:rPr>
          <w:rFonts w:hint="eastAsia" w:ascii="Times New Roman" w:hAnsi="Times New Roman" w:eastAsia="黑体"/>
          <w:sz w:val="28"/>
          <w:szCs w:val="28"/>
        </w:rPr>
      </w:pPr>
      <w:bookmarkStart w:id="444" w:name="_Toc12966"/>
      <w:bookmarkStart w:id="445" w:name="_Toc406438913"/>
      <w:bookmarkStart w:id="446" w:name="_Toc406100171"/>
      <w:bookmarkStart w:id="447" w:name="_Toc5692"/>
      <w:bookmarkStart w:id="448" w:name="_Toc30122"/>
      <w:bookmarkStart w:id="449" w:name="_Toc408301000"/>
      <w:bookmarkStart w:id="450" w:name="_Toc23947026"/>
      <w:bookmarkStart w:id="451" w:name="_Toc32286"/>
      <w:bookmarkStart w:id="452" w:name="_Toc408749926"/>
      <w:r>
        <w:rPr>
          <w:rFonts w:hint="eastAsia" w:ascii="Times New Roman" w:hAnsi="Times New Roman" w:eastAsia="黑体"/>
          <w:sz w:val="28"/>
          <w:szCs w:val="28"/>
        </w:rPr>
        <w:t>一、交易信息内容</w:t>
      </w:r>
      <w:bookmarkEnd w:id="444"/>
      <w:bookmarkEnd w:id="445"/>
      <w:bookmarkEnd w:id="446"/>
      <w:bookmarkEnd w:id="447"/>
      <w:bookmarkEnd w:id="448"/>
      <w:bookmarkEnd w:id="449"/>
      <w:bookmarkEnd w:id="450"/>
      <w:bookmarkEnd w:id="451"/>
      <w:bookmarkEnd w:id="452"/>
    </w:p>
    <w:p w14:paraId="3A4A01D8">
      <w:pPr>
        <w:ind w:firstLine="560" w:firstLineChars="200"/>
        <w:rPr>
          <w:rFonts w:ascii="仿宋_GB2312" w:eastAsia="仿宋_GB2312"/>
          <w:color w:val="000000"/>
          <w:sz w:val="28"/>
          <w:szCs w:val="28"/>
        </w:rPr>
      </w:pPr>
      <w:r>
        <w:rPr>
          <w:rFonts w:hint="eastAsia" w:ascii="仿宋_GB2312" w:eastAsia="仿宋_GB2312"/>
          <w:color w:val="000000"/>
          <w:sz w:val="28"/>
          <w:szCs w:val="28"/>
        </w:rPr>
        <w:t>本所每个交易日发布衍生品合约相关交易信息，包括交易前信息、即时行情、盘后信息、行权信息等。期货公司应及时接收本所向其发送的相关交易信息，并通过行情交易终端、公司门户网站</w:t>
      </w:r>
      <w:r>
        <w:rPr>
          <w:rFonts w:hint="eastAsia" w:ascii="仿宋_GB2312" w:eastAsia="仿宋_GB2312"/>
          <w:sz w:val="28"/>
          <w:szCs w:val="28"/>
        </w:rPr>
        <w:t>或经纪合同约定的方式</w:t>
      </w:r>
      <w:r>
        <w:rPr>
          <w:rFonts w:hint="eastAsia" w:ascii="仿宋_GB2312" w:eastAsia="仿宋_GB2312"/>
          <w:color w:val="000000"/>
          <w:sz w:val="28"/>
          <w:szCs w:val="28"/>
        </w:rPr>
        <w:t>等形式向投资者转发。</w:t>
      </w:r>
    </w:p>
    <w:p w14:paraId="32190CE2">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期货公司可结合本所公开发布的相关衍生品合约交易信息，向投资者提供诸如期权计算器、期权杠杆比率、期权希腊字母值等个性化交易信息。期货公司应当对个性化信息的真实性、准确性负责。</w:t>
      </w:r>
    </w:p>
    <w:p w14:paraId="4D28F36C">
      <w:pPr>
        <w:ind w:firstLine="560"/>
        <w:rPr>
          <w:rFonts w:hint="eastAsia" w:ascii="Times New Roman" w:hAnsi="Times New Roman" w:eastAsia="黑体"/>
          <w:sz w:val="28"/>
          <w:szCs w:val="28"/>
        </w:rPr>
      </w:pPr>
      <w:bookmarkStart w:id="453" w:name="_Toc406438914"/>
      <w:bookmarkStart w:id="454" w:name="_Toc408749927"/>
      <w:bookmarkStart w:id="455" w:name="_Toc30602"/>
      <w:bookmarkStart w:id="456" w:name="_Toc23947027"/>
      <w:bookmarkStart w:id="457" w:name="_Toc406100172"/>
      <w:bookmarkStart w:id="458" w:name="_Toc408301001"/>
      <w:bookmarkStart w:id="459" w:name="_Toc3350"/>
      <w:bookmarkStart w:id="460" w:name="_Toc9168"/>
      <w:bookmarkStart w:id="461" w:name="_Toc26224"/>
      <w:r>
        <w:rPr>
          <w:rFonts w:hint="eastAsia" w:ascii="Times New Roman" w:hAnsi="Times New Roman" w:eastAsia="黑体"/>
          <w:sz w:val="28"/>
          <w:szCs w:val="28"/>
        </w:rPr>
        <w:t>二、信息公告与提醒</w:t>
      </w:r>
      <w:bookmarkEnd w:id="453"/>
      <w:bookmarkEnd w:id="454"/>
      <w:bookmarkEnd w:id="455"/>
      <w:bookmarkEnd w:id="456"/>
      <w:bookmarkEnd w:id="457"/>
      <w:bookmarkEnd w:id="458"/>
      <w:bookmarkEnd w:id="459"/>
      <w:bookmarkEnd w:id="460"/>
      <w:bookmarkEnd w:id="461"/>
    </w:p>
    <w:p w14:paraId="6C4FFBE4">
      <w:pPr>
        <w:ind w:firstLine="560" w:firstLineChars="200"/>
        <w:rPr>
          <w:rFonts w:ascii="Times New Roman" w:hAnsi="Times New Roman" w:eastAsia="楷体_GB2312"/>
          <w:b w:val="0"/>
          <w:sz w:val="28"/>
          <w:szCs w:val="28"/>
        </w:rPr>
      </w:pPr>
      <w:r>
        <w:rPr>
          <w:rFonts w:hint="default" w:ascii="Times New Roman" w:hAnsi="Times New Roman" w:eastAsia="楷体_GB2312"/>
          <w:b w:val="0"/>
          <w:sz w:val="28"/>
          <w:szCs w:val="28"/>
        </w:rPr>
        <w:t>（一）信息公告</w:t>
      </w:r>
    </w:p>
    <w:p w14:paraId="16D3B79F">
      <w:pPr>
        <w:ind w:firstLine="560" w:firstLineChars="200"/>
        <w:rPr>
          <w:rFonts w:ascii="仿宋_GB2312" w:eastAsia="仿宋_GB2312"/>
          <w:sz w:val="28"/>
          <w:szCs w:val="28"/>
        </w:rPr>
      </w:pPr>
      <w:r>
        <w:rPr>
          <w:rFonts w:hint="eastAsia" w:ascii="仿宋_GB2312" w:eastAsia="仿宋_GB2312"/>
          <w:sz w:val="28"/>
          <w:szCs w:val="28"/>
        </w:rPr>
        <w:t>期货公司应当及时接收本所通过通讯系统、本所网站等渠道发布的股票期权相关信息通知公告（包括但不限于股票期权合约运作管理相关公告、股票期权风险控制相关公告等），并向投资者转发，转发、推送形式可以为公司网站公示、客户交易终端提示、邮件或经纪合同约定的方式等。</w:t>
      </w:r>
    </w:p>
    <w:p w14:paraId="78B44AA2">
      <w:pPr>
        <w:ind w:firstLine="560" w:firstLineChars="200"/>
        <w:rPr>
          <w:rFonts w:ascii="仿宋_GB2312" w:eastAsia="仿宋_GB2312"/>
          <w:sz w:val="28"/>
          <w:szCs w:val="28"/>
        </w:rPr>
      </w:pPr>
      <w:r>
        <w:rPr>
          <w:rFonts w:hint="eastAsia" w:ascii="仿宋_GB2312" w:eastAsia="仿宋_GB2312"/>
          <w:sz w:val="28"/>
          <w:szCs w:val="28"/>
        </w:rPr>
        <w:t>期货公司应发布与其自身</w:t>
      </w:r>
      <w:r>
        <w:rPr>
          <w:rFonts w:hint="eastAsia" w:ascii="仿宋_GB2312" w:eastAsia="仿宋_GB2312"/>
          <w:sz w:val="28"/>
          <w:szCs w:val="28"/>
          <w:lang w:val="en-US" w:eastAsia="zh-CN"/>
        </w:rPr>
        <w:t>股票</w:t>
      </w:r>
      <w:r>
        <w:rPr>
          <w:rFonts w:hint="eastAsia" w:ascii="仿宋_GB2312" w:eastAsia="仿宋_GB2312"/>
          <w:sz w:val="28"/>
          <w:szCs w:val="28"/>
        </w:rPr>
        <w:t>期权业务相关的公告信息，如期货公司保证金调整、</w:t>
      </w:r>
      <w:r>
        <w:rPr>
          <w:rFonts w:hint="eastAsia" w:ascii="仿宋_GB2312" w:eastAsia="仿宋_GB2312"/>
          <w:sz w:val="28"/>
          <w:szCs w:val="28"/>
          <w:lang w:val="en-US" w:eastAsia="zh-CN"/>
        </w:rPr>
        <w:t>股票</w:t>
      </w:r>
      <w:r>
        <w:rPr>
          <w:rFonts w:hint="eastAsia" w:ascii="仿宋_GB2312" w:eastAsia="仿宋_GB2312"/>
          <w:sz w:val="28"/>
          <w:szCs w:val="28"/>
        </w:rPr>
        <w:t>期权交易手续费调整等。公告形式可以为期货公司的公司网站公示、客户交易终端提示、发送邮件或经纪合同约定的方式等。</w:t>
      </w:r>
    </w:p>
    <w:p w14:paraId="7D5D288D">
      <w:pPr>
        <w:ind w:firstLine="560" w:firstLineChars="200"/>
        <w:rPr>
          <w:rFonts w:ascii="Times New Roman" w:hAnsi="Times New Roman" w:eastAsia="楷体_GB2312"/>
          <w:b w:val="0"/>
          <w:sz w:val="28"/>
          <w:szCs w:val="28"/>
        </w:rPr>
      </w:pPr>
      <w:r>
        <w:rPr>
          <w:rFonts w:hint="default" w:ascii="Times New Roman" w:hAnsi="Times New Roman" w:eastAsia="楷体_GB2312"/>
          <w:b w:val="0"/>
          <w:sz w:val="28"/>
          <w:szCs w:val="28"/>
        </w:rPr>
        <w:t>（二）信息提醒</w:t>
      </w:r>
    </w:p>
    <w:p w14:paraId="43E629A5">
      <w:pPr>
        <w:ind w:firstLine="560" w:firstLineChars="200"/>
        <w:rPr>
          <w:rFonts w:ascii="仿宋_GB2312" w:eastAsia="仿宋_GB2312"/>
          <w:color w:val="000000"/>
          <w:sz w:val="28"/>
          <w:szCs w:val="28"/>
        </w:rPr>
      </w:pPr>
      <w:r>
        <w:rPr>
          <w:rFonts w:hint="default" w:ascii="Times New Roman" w:hAnsi="Times New Roman" w:eastAsia="仿宋_GB2312"/>
          <w:sz w:val="28"/>
          <w:szCs w:val="28"/>
        </w:rPr>
        <w:t>1.</w:t>
      </w:r>
      <w:r>
        <w:rPr>
          <w:rFonts w:hint="eastAsia" w:ascii="仿宋_GB2312" w:eastAsia="仿宋_GB2312"/>
          <w:color w:val="000000"/>
          <w:sz w:val="28"/>
          <w:szCs w:val="28"/>
        </w:rPr>
        <w:t>期货公司应对客户参与</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期权交易有关事项进行提醒，内容包括但不限于：距离到期日不足3个交易日的</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期权合约信息；合约运作管理；近期进行合约调整的</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期权合约信息（持续到调整后5个交易日或摘牌）；保证金参数水平调整；</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期权手续费调整；重点监控</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期权合约交易风险；其他本所或期货公司认为有必要向投资者进行提醒的事项。</w:t>
      </w:r>
    </w:p>
    <w:p w14:paraId="5F814E7C">
      <w:pPr>
        <w:ind w:firstLine="560" w:firstLineChars="200"/>
        <w:rPr>
          <w:rFonts w:ascii="仿宋_GB2312" w:eastAsia="仿宋_GB2312"/>
          <w:color w:val="000000"/>
          <w:sz w:val="28"/>
          <w:szCs w:val="28"/>
        </w:rPr>
      </w:pPr>
      <w:r>
        <w:rPr>
          <w:rFonts w:hint="eastAsia" w:ascii="Times New Roman" w:hAnsi="Times New Roman" w:eastAsia="仿宋_GB2312"/>
          <w:sz w:val="28"/>
          <w:szCs w:val="28"/>
          <w:lang w:val="en-US" w:eastAsia="zh-CN"/>
        </w:rPr>
        <w:t>2</w:t>
      </w:r>
      <w:r>
        <w:rPr>
          <w:rFonts w:hint="default" w:ascii="Times New Roman" w:hAnsi="Times New Roman" w:eastAsia="仿宋_GB2312"/>
          <w:sz w:val="28"/>
          <w:szCs w:val="28"/>
        </w:rPr>
        <w:t>.</w:t>
      </w:r>
      <w:r>
        <w:rPr>
          <w:rFonts w:hint="eastAsia" w:ascii="仿宋_GB2312" w:eastAsia="仿宋_GB2312"/>
          <w:color w:val="000000"/>
          <w:sz w:val="28"/>
          <w:szCs w:val="28"/>
        </w:rPr>
        <w:t>期货公司应对相关持仓客户进行如下提醒（提醒方式可以为客户交易终端提醒、电子邮件、短信、电话等）：备兑持仓标的证券不足提醒；持有快到期或到期合约的临近行权提醒；持有快到期合约的被行权可能提醒；被指派行权提醒；证券交收日，交收证券不足提醒（电话提醒并督促其补足应交标的证券数量；其他本所或期货公司认为有必要向投资者进行持仓的提醒事项。</w:t>
      </w:r>
    </w:p>
    <w:p w14:paraId="2E47908F">
      <w:pPr>
        <w:ind w:firstLine="560" w:firstLineChars="200"/>
        <w:rPr>
          <w:rFonts w:ascii="仿宋_GB2312" w:eastAsia="仿宋_GB2312"/>
          <w:color w:val="000000"/>
          <w:sz w:val="28"/>
          <w:szCs w:val="28"/>
        </w:rPr>
      </w:pPr>
      <w:r>
        <w:rPr>
          <w:rFonts w:hint="eastAsia" w:ascii="Times New Roman" w:hAnsi="Times New Roman" w:eastAsia="仿宋_GB2312"/>
          <w:sz w:val="28"/>
          <w:szCs w:val="28"/>
          <w:lang w:val="en-US" w:eastAsia="zh-CN"/>
        </w:rPr>
        <w:t>3</w:t>
      </w:r>
      <w:r>
        <w:rPr>
          <w:rFonts w:hint="default" w:ascii="Times New Roman" w:hAnsi="Times New Roman" w:eastAsia="仿宋_GB2312"/>
          <w:sz w:val="28"/>
          <w:szCs w:val="28"/>
        </w:rPr>
        <w:t>.</w:t>
      </w:r>
      <w:r>
        <w:rPr>
          <w:rFonts w:hint="eastAsia" w:ascii="仿宋_GB2312" w:eastAsia="仿宋_GB2312"/>
          <w:color w:val="000000"/>
          <w:sz w:val="28"/>
          <w:szCs w:val="28"/>
        </w:rPr>
        <w:t>交易委托提醒</w:t>
      </w:r>
    </w:p>
    <w:p w14:paraId="4571BFD3">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期货公司的客户交易终端应支持在客户提交包括但不限于以下交易委托时，弹出窗口（对同一合约交易可设置只提醒一次）进行提醒：严重虚值期权买入开仓委托；临近到期期权买入开仓委托；合约调整过的</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期权买入开仓委托；合约为虚值的行权委托；备兑开仓委托时标的证券不足；其他本所或期货公司认为有必要向投资者进行提醒的事项。</w:t>
      </w:r>
    </w:p>
    <w:p w14:paraId="2FA831DA">
      <w:pPr>
        <w:ind w:firstLine="560" w:firstLineChars="200"/>
        <w:rPr>
          <w:rFonts w:ascii="仿宋_GB2312" w:eastAsia="仿宋_GB2312"/>
          <w:color w:val="000000"/>
          <w:sz w:val="28"/>
          <w:szCs w:val="28"/>
        </w:rPr>
      </w:pPr>
      <w:r>
        <w:rPr>
          <w:rFonts w:hint="eastAsia" w:ascii="Times New Roman" w:hAnsi="Times New Roman" w:eastAsia="仿宋_GB2312"/>
          <w:sz w:val="28"/>
          <w:szCs w:val="28"/>
          <w:lang w:val="en-US" w:eastAsia="zh-CN"/>
        </w:rPr>
        <w:t>4</w:t>
      </w:r>
      <w:r>
        <w:rPr>
          <w:rFonts w:hint="default" w:ascii="Times New Roman" w:hAnsi="Times New Roman" w:eastAsia="仿宋_GB2312"/>
          <w:sz w:val="28"/>
          <w:szCs w:val="28"/>
        </w:rPr>
        <w:t>.</w:t>
      </w:r>
      <w:r>
        <w:rPr>
          <w:rFonts w:hint="eastAsia" w:ascii="仿宋_GB2312" w:eastAsia="仿宋_GB2312"/>
          <w:color w:val="000000"/>
          <w:sz w:val="28"/>
          <w:szCs w:val="28"/>
        </w:rPr>
        <w:t>期货公司应当根据投资者的资金状况、交易活跃程度、异常交易结算行为发生频率、收到本所警示次数以及是否为本所重点监控账户等情况，对投资者进行分类管理，在市场出现</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期权价格大幅波动时，及时向投资者提示投资风险。</w:t>
      </w:r>
    </w:p>
    <w:p w14:paraId="76A4263B">
      <w:pPr>
        <w:ind w:firstLine="560" w:firstLineChars="200"/>
        <w:rPr>
          <w:rFonts w:ascii="仿宋_GB2312" w:eastAsia="仿宋_GB2312"/>
          <w:color w:val="000000"/>
          <w:sz w:val="28"/>
          <w:szCs w:val="28"/>
        </w:rPr>
      </w:pPr>
      <w:r>
        <w:rPr>
          <w:rFonts w:hint="eastAsia" w:ascii="Times New Roman" w:hAnsi="Times New Roman" w:eastAsia="仿宋_GB2312"/>
          <w:sz w:val="28"/>
          <w:szCs w:val="28"/>
          <w:lang w:val="en-US" w:eastAsia="zh-CN"/>
        </w:rPr>
        <w:t>5</w:t>
      </w:r>
      <w:r>
        <w:rPr>
          <w:rFonts w:hint="default" w:ascii="Times New Roman" w:hAnsi="Times New Roman" w:eastAsia="仿宋_GB2312"/>
          <w:sz w:val="28"/>
          <w:szCs w:val="28"/>
        </w:rPr>
        <w:t>.</w:t>
      </w:r>
      <w:r>
        <w:rPr>
          <w:rFonts w:hint="eastAsia" w:ascii="仿宋_GB2312" w:eastAsia="仿宋_GB2312"/>
          <w:color w:val="000000"/>
          <w:sz w:val="28"/>
          <w:szCs w:val="28"/>
        </w:rPr>
        <w:t>建议期货公司在相关信息技术系统突发事件应急处置方案中制定股票期权合约信息相关突发故障的处理措施，确保投资者在突发事件时能够及时知晓股票期权相关交易与提醒信息。</w:t>
      </w:r>
    </w:p>
    <w:p w14:paraId="7C62777F">
      <w:pPr>
        <w:ind w:firstLine="560"/>
        <w:rPr>
          <w:rFonts w:hint="eastAsia" w:ascii="Times New Roman" w:hAnsi="Times New Roman" w:eastAsia="黑体"/>
          <w:sz w:val="28"/>
          <w:szCs w:val="28"/>
          <w:lang w:val="en-US" w:eastAsia="zh-CN"/>
        </w:rPr>
      </w:pPr>
      <w:bookmarkStart w:id="462" w:name="_Toc20070"/>
      <w:bookmarkStart w:id="463" w:name="_Toc23947028"/>
      <w:r>
        <w:rPr>
          <w:rFonts w:hint="eastAsia" w:ascii="Times New Roman" w:hAnsi="Times New Roman" w:eastAsia="黑体"/>
          <w:sz w:val="28"/>
          <w:szCs w:val="28"/>
        </w:rPr>
        <w:t>三、</w:t>
      </w:r>
      <w:r>
        <w:rPr>
          <w:rFonts w:hint="eastAsia" w:ascii="Times New Roman" w:hAnsi="Times New Roman" w:eastAsia="黑体"/>
          <w:sz w:val="28"/>
          <w:szCs w:val="28"/>
          <w:lang w:val="en-US" w:eastAsia="zh-CN"/>
        </w:rPr>
        <w:t>股票</w:t>
      </w:r>
      <w:r>
        <w:rPr>
          <w:rFonts w:hint="eastAsia" w:ascii="Times New Roman" w:hAnsi="Times New Roman" w:eastAsia="黑体"/>
          <w:sz w:val="28"/>
          <w:szCs w:val="28"/>
        </w:rPr>
        <w:t>期权基础信息接口文件</w:t>
      </w:r>
      <w:bookmarkEnd w:id="462"/>
      <w:bookmarkEnd w:id="463"/>
      <w:r>
        <w:rPr>
          <w:rFonts w:hint="eastAsia" w:ascii="Times New Roman" w:hAnsi="Times New Roman" w:eastAsia="黑体"/>
          <w:sz w:val="28"/>
          <w:szCs w:val="28"/>
          <w:lang w:val="en-US" w:eastAsia="zh-CN"/>
        </w:rPr>
        <w:t>说明</w:t>
      </w:r>
    </w:p>
    <w:p w14:paraId="0C532CC9">
      <w:pPr>
        <w:ind w:firstLine="560" w:firstLineChars="200"/>
        <w:rPr>
          <w:rFonts w:ascii="仿宋_GB2312" w:eastAsia="仿宋_GB2312"/>
          <w:color w:val="000000"/>
          <w:sz w:val="28"/>
          <w:szCs w:val="28"/>
        </w:rPr>
      </w:pPr>
      <w:r>
        <w:rPr>
          <w:rFonts w:hint="eastAsia" w:ascii="仿宋_GB2312" w:eastAsia="仿宋_GB2312"/>
          <w:color w:val="000000"/>
          <w:sz w:val="28"/>
          <w:szCs w:val="28"/>
          <w:lang w:val="en-US" w:eastAsia="zh-CN"/>
        </w:rPr>
        <w:t>本所</w:t>
      </w:r>
      <w:r>
        <w:rPr>
          <w:rFonts w:hint="eastAsia" w:ascii="仿宋_GB2312" w:eastAsia="仿宋_GB2312"/>
          <w:color w:val="000000"/>
          <w:sz w:val="28"/>
          <w:szCs w:val="28"/>
        </w:rPr>
        <w:t>每日向期货公司发送</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期权基础信息接口文件（文件名称：reff0302YYYYMMDD.xml</w:t>
      </w:r>
      <w:r>
        <w:rPr>
          <w:rFonts w:hint="eastAsia" w:ascii="仿宋_GB2312" w:eastAsia="仿宋_GB2312"/>
          <w:color w:val="000000"/>
          <w:sz w:val="28"/>
          <w:szCs w:val="28"/>
          <w:lang w:val="en-US" w:eastAsia="zh-CN"/>
        </w:rPr>
        <w:t>和</w:t>
      </w:r>
      <w:r>
        <w:rPr>
          <w:rFonts w:hint="eastAsia" w:ascii="仿宋_GB2312" w:eastAsia="仿宋_GB2312"/>
          <w:color w:val="000000"/>
          <w:sz w:val="28"/>
          <w:szCs w:val="28"/>
        </w:rPr>
        <w:t>reff03MMDD.txt</w:t>
      </w:r>
      <w:r>
        <w:rPr>
          <w:rStyle w:val="38"/>
          <w:rFonts w:hint="eastAsia" w:ascii="仿宋_GB2312" w:eastAsia="仿宋_GB2312"/>
          <w:color w:val="000000"/>
          <w:sz w:val="28"/>
          <w:szCs w:val="28"/>
        </w:rPr>
        <w:footnoteReference w:id="0"/>
      </w:r>
      <w:r>
        <w:rPr>
          <w:rFonts w:hint="eastAsia" w:ascii="仿宋_GB2312" w:eastAsia="仿宋_GB2312"/>
          <w:color w:val="000000"/>
          <w:sz w:val="28"/>
          <w:szCs w:val="28"/>
        </w:rPr>
        <w:t>，以下简称期权reff文件）。reff0302YYYYMMDD.xml文件包含</w:t>
      </w:r>
      <w:r>
        <w:rPr>
          <w:rFonts w:hint="eastAsia" w:ascii="仿宋_GB2312" w:eastAsia="仿宋_GB2312"/>
          <w:color w:val="000000"/>
          <w:sz w:val="28"/>
          <w:szCs w:val="28"/>
          <w:lang w:val="en-US" w:eastAsia="zh-CN"/>
        </w:rPr>
        <w:t>36</w:t>
      </w:r>
      <w:r>
        <w:rPr>
          <w:rFonts w:hint="eastAsia" w:ascii="仿宋_GB2312" w:eastAsia="仿宋_GB2312"/>
          <w:color w:val="000000"/>
          <w:sz w:val="28"/>
          <w:szCs w:val="28"/>
        </w:rPr>
        <w:t>个字段，reff03MMDD.txt文件包含</w:t>
      </w:r>
      <w:r>
        <w:rPr>
          <w:rFonts w:hint="eastAsia" w:ascii="仿宋_GB2312" w:eastAsia="仿宋_GB2312"/>
          <w:color w:val="000000"/>
          <w:sz w:val="28"/>
          <w:szCs w:val="28"/>
          <w:lang w:val="en-US" w:eastAsia="zh-CN"/>
        </w:rPr>
        <w:t>35</w:t>
      </w:r>
      <w:r>
        <w:rPr>
          <w:rFonts w:hint="eastAsia" w:ascii="仿宋_GB2312" w:eastAsia="仿宋_GB2312"/>
          <w:color w:val="000000"/>
          <w:sz w:val="28"/>
          <w:szCs w:val="28"/>
        </w:rPr>
        <w:t>个字段，现说明如下：</w:t>
      </w:r>
    </w:p>
    <w:p w14:paraId="4F573866">
      <w:pPr>
        <w:ind w:firstLine="560" w:firstLineChars="200"/>
        <w:rPr>
          <w:rFonts w:hint="default" w:ascii="Times New Roman" w:hAnsi="Times New Roman" w:eastAsia="楷体_GB2312" w:cs="Times New Roman"/>
          <w:sz w:val="28"/>
          <w:szCs w:val="28"/>
        </w:rPr>
      </w:pPr>
      <w:r>
        <w:rPr>
          <w:rFonts w:hint="default" w:ascii="Times New Roman" w:hAnsi="Times New Roman" w:eastAsia="楷体_GB2312" w:cs="Times New Roman"/>
          <w:kern w:val="2"/>
          <w:sz w:val="28"/>
          <w:szCs w:val="28"/>
          <w:lang w:val="en-US" w:eastAsia="zh-CN" w:bidi="ar-SA"/>
        </w:rPr>
        <w:t>（一）</w:t>
      </w:r>
      <w:r>
        <w:rPr>
          <w:rFonts w:hint="default" w:ascii="Times New Roman" w:hAnsi="Times New Roman" w:eastAsia="楷体_GB2312" w:cs="Times New Roman"/>
          <w:sz w:val="28"/>
          <w:szCs w:val="28"/>
        </w:rPr>
        <w:t>合约品种通用类字段</w:t>
      </w:r>
    </w:p>
    <w:p w14:paraId="33BB5B26">
      <w:pPr>
        <w:numPr>
          <w:ilvl w:val="-1"/>
          <w:numId w:val="0"/>
        </w:numPr>
        <w:ind w:firstLine="560" w:firstLineChars="200"/>
        <w:rPr>
          <w:rFonts w:ascii="仿宋_GB2312" w:eastAsia="仿宋_GB2312" w:cs="仿宋_GB2312"/>
          <w:sz w:val="28"/>
          <w:szCs w:val="28"/>
        </w:rPr>
      </w:pPr>
      <w:r>
        <w:rPr>
          <w:rFonts w:hint="eastAsia" w:ascii="仿宋_GB2312" w:hAnsi="Times New Roman" w:eastAsia="仿宋_GB2312" w:cs="仿宋_GB2312"/>
          <w:sz w:val="28"/>
          <w:szCs w:val="28"/>
        </w:rPr>
        <w:t>合约品种通用类字段内容适用同一</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期权合约品种，包括：欧式美式、保证金计算比例参数一、保证金计算比例参数二、整手数、单笔限价申报下限、单笔限价申报上限、单笔市价申报下限、单笔市价申报上限、最小报价单位，共9个。</w:t>
      </w:r>
    </w:p>
    <w:p w14:paraId="61244B86">
      <w:pPr>
        <w:ind w:firstLine="565" w:firstLineChars="202"/>
        <w:rPr>
          <w:rFonts w:hint="eastAsia" w:ascii="仿宋_GB2312" w:hAnsi="Times New Roman" w:eastAsia="仿宋_GB2312" w:cs="仿宋_GB2312"/>
          <w:sz w:val="28"/>
          <w:szCs w:val="28"/>
        </w:rPr>
      </w:pPr>
      <w:r>
        <w:rPr>
          <w:rFonts w:hint="eastAsia" w:ascii="仿宋_GB2312" w:hAnsi="Times New Roman" w:eastAsia="仿宋_GB2312" w:cs="仿宋_GB2312"/>
          <w:sz w:val="28"/>
          <w:szCs w:val="28"/>
        </w:rPr>
        <w:t>该类字段均根据本所现行业务规则或通知设置。若业务规则未发生变化，该类字段内容保持不变；该类字段内容发生调整时，本所将向市场发布公告，并及时告知期权经营机构。期权经营机构应能够在期权系统中对字段内容进行实时统一调整。</w:t>
      </w:r>
      <w:r>
        <w:rPr>
          <w:rFonts w:hint="eastAsia" w:ascii="仿宋_GB2312" w:hAnsi="Times New Roman" w:eastAsia="仿宋_GB2312" w:cs="仿宋_GB2312"/>
          <w:sz w:val="28"/>
          <w:szCs w:val="28"/>
        </w:rPr>
        <w:br w:type="textWrapping"/>
      </w:r>
      <w:r>
        <w:rPr>
          <w:rFonts w:ascii="Times New Roman" w:hAnsi="Times New Roman" w:eastAsia="楷体_GB2312"/>
          <w:sz w:val="28"/>
          <w:szCs w:val="28"/>
        </w:rPr>
        <w:t> </w:t>
      </w:r>
      <w:r>
        <w:rPr>
          <w:rFonts w:hint="default" w:ascii="Times New Roman" w:hAnsi="Times New Roman" w:eastAsia="楷体_GB2312" w:cs="Times New Roman"/>
          <w:sz w:val="28"/>
          <w:szCs w:val="28"/>
        </w:rPr>
        <w:t xml:space="preserve">   </w:t>
      </w:r>
      <w:r>
        <w:rPr>
          <w:rFonts w:ascii="Times New Roman" w:hAnsi="Times New Roman" w:eastAsia="楷体_GB2312"/>
          <w:sz w:val="28"/>
          <w:szCs w:val="28"/>
        </w:rPr>
        <w:t>（</w:t>
      </w:r>
      <w:r>
        <w:rPr>
          <w:rFonts w:hint="default" w:ascii="Times New Roman" w:hAnsi="Times New Roman" w:eastAsia="楷体_GB2312"/>
          <w:sz w:val="28"/>
          <w:szCs w:val="28"/>
        </w:rPr>
        <w:t>二</w:t>
      </w:r>
      <w:r>
        <w:rPr>
          <w:rFonts w:ascii="Times New Roman" w:hAnsi="Times New Roman" w:eastAsia="楷体_GB2312"/>
          <w:sz w:val="28"/>
          <w:szCs w:val="28"/>
        </w:rPr>
        <w:t>）</w:t>
      </w:r>
      <w:r>
        <w:rPr>
          <w:rFonts w:hint="default" w:ascii="Times New Roman" w:hAnsi="Times New Roman" w:eastAsia="楷体_GB2312" w:cs="Times New Roman"/>
          <w:sz w:val="28"/>
          <w:szCs w:val="28"/>
        </w:rPr>
        <w:t>合约个性类字段</w:t>
      </w:r>
    </w:p>
    <w:p w14:paraId="70F347B5">
      <w:pPr>
        <w:ind w:firstLine="565" w:firstLineChars="202"/>
        <w:rPr>
          <w:rFonts w:ascii="仿宋_GB2312" w:eastAsia="仿宋_GB2312" w:cs="仿宋_GB2312"/>
          <w:sz w:val="28"/>
          <w:szCs w:val="28"/>
        </w:rPr>
      </w:pPr>
      <w:r>
        <w:rPr>
          <w:rFonts w:hint="eastAsia" w:ascii="仿宋_GB2312" w:hAnsi="Times New Roman" w:eastAsia="仿宋_GB2312" w:cs="仿宋_GB2312"/>
          <w:sz w:val="28"/>
          <w:szCs w:val="28"/>
        </w:rPr>
        <w:t>合约个性类字段内容根据</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期权合约个性化产生，包括：合约编码、合约交易代码、</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合约简称、认购认沽、合约单位、期权行权价、首个交易日、最后交易日、期权行权日、行权交割日、期权到期日、合约版本号、当前未平仓合约数、合约前收盘价、合约前结算价、涨幅上限价格、跌幅下限价格、单位保证金，共18个。</w:t>
      </w:r>
    </w:p>
    <w:p w14:paraId="4AF23190">
      <w:pPr>
        <w:ind w:firstLine="560" w:firstLineChars="200"/>
        <w:rPr>
          <w:rFonts w:ascii="仿宋_GB2312" w:eastAsia="仿宋_GB2312" w:cs="仿宋_GB2312"/>
          <w:sz w:val="28"/>
          <w:szCs w:val="28"/>
        </w:rPr>
      </w:pPr>
      <w:r>
        <w:rPr>
          <w:rFonts w:hint="eastAsia" w:ascii="仿宋_GB2312" w:hAnsi="Times New Roman" w:eastAsia="仿宋_GB2312" w:cs="仿宋_GB2312"/>
          <w:sz w:val="28"/>
          <w:szCs w:val="28"/>
        </w:rPr>
        <w:t xml:space="preserve"> 期权经营机构可以通过本所发送的期权reff文件获取该类字段内容，但应能够在期权系统中根据</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期权合约对该类字段内容进行实时个性化调整。</w:t>
      </w:r>
    </w:p>
    <w:p w14:paraId="030E7F28">
      <w:pPr>
        <w:ind w:firstLine="560" w:firstLineChars="200"/>
        <w:rPr>
          <w:rFonts w:ascii="仿宋_GB2312" w:eastAsia="仿宋_GB2312" w:cs="仿宋_GB2312"/>
          <w:sz w:val="28"/>
          <w:szCs w:val="28"/>
        </w:rPr>
      </w:pPr>
      <w:r>
        <w:rPr>
          <w:rFonts w:hint="eastAsia" w:ascii="仿宋_GB2312" w:hAnsi="Times New Roman" w:eastAsia="仿宋_GB2312" w:cs="仿宋_GB2312"/>
          <w:sz w:val="28"/>
          <w:szCs w:val="28"/>
        </w:rPr>
        <w:t xml:space="preserve"> 其中，对于“单位保证金”、“涨幅上限价格”、“跌幅下限价格”字段，期权经营机构可根据本所发布的业务规则计算并设置。当本所对发送的期权reff文件数据进行调整时，将及时告知期权经营机构。</w:t>
      </w:r>
    </w:p>
    <w:p w14:paraId="3AD570A1">
      <w:pPr>
        <w:ind w:firstLine="560" w:firstLineChars="200"/>
        <w:rPr>
          <w:rFonts w:ascii="仿宋_GB2312" w:eastAsia="仿宋_GB2312" w:cs="仿宋_GB2312"/>
          <w:sz w:val="28"/>
          <w:szCs w:val="28"/>
        </w:rPr>
      </w:pPr>
      <w:r>
        <w:rPr>
          <w:rFonts w:hint="eastAsia" w:ascii="仿宋_GB2312" w:hAnsi="Times New Roman" w:eastAsia="仿宋_GB2312" w:cs="仿宋_GB2312"/>
          <w:sz w:val="28"/>
          <w:szCs w:val="28"/>
        </w:rPr>
        <w:t xml:space="preserve"> 对于“认购认沽”、“期权行权价”字段，期权经营机构可以通过“合约交易代码”或“期权合约简称”字段获取前述字段内容。</w:t>
      </w:r>
    </w:p>
    <w:p w14:paraId="1EC6AC4F">
      <w:pPr>
        <w:ind w:firstLine="560" w:firstLineChars="200"/>
        <w:rPr>
          <w:rFonts w:ascii="仿宋_GB2312" w:eastAsia="仿宋_GB2312" w:cs="仿宋_GB2312"/>
          <w:sz w:val="28"/>
          <w:szCs w:val="28"/>
        </w:rPr>
      </w:pPr>
      <w:r>
        <w:rPr>
          <w:rFonts w:hint="eastAsia" w:ascii="仿宋_GB2312" w:hAnsi="Times New Roman" w:eastAsia="仿宋_GB2312" w:cs="仿宋_GB2312"/>
          <w:sz w:val="28"/>
          <w:szCs w:val="28"/>
        </w:rPr>
        <w:t xml:space="preserve"> 对于“首个交易日”、“合约版本号”、“合约前收盘价”字段，其内容仅提供</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期权合约的辅助信息，不影响期权经营机构</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期权系统的正常运行。</w:t>
      </w:r>
    </w:p>
    <w:p w14:paraId="38FDBC06">
      <w:pPr>
        <w:numPr>
          <w:ilvl w:val="0"/>
          <w:numId w:val="0"/>
        </w:numPr>
        <w:ind w:firstLine="565" w:firstLineChars="202"/>
        <w:rPr>
          <w:rFonts w:hint="eastAsia" w:ascii="仿宋_GB2312" w:hAnsi="Times New Roman" w:eastAsia="仿宋_GB2312" w:cs="仿宋_GB2312"/>
          <w:sz w:val="28"/>
          <w:szCs w:val="28"/>
        </w:rPr>
      </w:pPr>
      <w:r>
        <w:rPr>
          <w:rFonts w:ascii="Times New Roman" w:hAnsi="Times New Roman" w:eastAsia="楷体_GB2312"/>
          <w:sz w:val="28"/>
          <w:szCs w:val="28"/>
        </w:rPr>
        <w:t>（</w:t>
      </w:r>
      <w:r>
        <w:rPr>
          <w:rFonts w:hint="default" w:ascii="Times New Roman" w:hAnsi="Times New Roman" w:eastAsia="楷体_GB2312"/>
          <w:sz w:val="28"/>
          <w:szCs w:val="28"/>
        </w:rPr>
        <w:t>三</w:t>
      </w:r>
      <w:r>
        <w:rPr>
          <w:rFonts w:ascii="Times New Roman" w:hAnsi="Times New Roman" w:eastAsia="楷体_GB2312"/>
          <w:sz w:val="28"/>
          <w:szCs w:val="28"/>
        </w:rPr>
        <w:t>）</w:t>
      </w:r>
      <w:r>
        <w:rPr>
          <w:rFonts w:hint="default" w:ascii="Times New Roman" w:hAnsi="Times New Roman" w:eastAsia="楷体_GB2312" w:cs="Times New Roman"/>
          <w:sz w:val="28"/>
          <w:szCs w:val="28"/>
        </w:rPr>
        <w:t>标的类字段</w:t>
      </w:r>
    </w:p>
    <w:p w14:paraId="597AE5D3">
      <w:pPr>
        <w:numPr>
          <w:ilvl w:val="0"/>
          <w:numId w:val="0"/>
        </w:numPr>
        <w:ind w:firstLine="565" w:firstLineChars="202"/>
        <w:rPr>
          <w:rFonts w:ascii="仿宋_GB2312" w:eastAsia="仿宋_GB2312" w:cs="仿宋_GB2312"/>
          <w:sz w:val="28"/>
          <w:szCs w:val="28"/>
        </w:rPr>
      </w:pPr>
      <w:r>
        <w:rPr>
          <w:rFonts w:hint="eastAsia" w:ascii="仿宋_GB2312" w:hAnsi="Times New Roman" w:eastAsia="仿宋_GB2312" w:cs="仿宋_GB2312"/>
          <w:sz w:val="28"/>
          <w:szCs w:val="28"/>
        </w:rPr>
        <w:t>标的类字段提供合约标的信息，</w:t>
      </w:r>
      <w:r>
        <w:rPr>
          <w:rFonts w:hint="eastAsia" w:ascii="仿宋_GB2312" w:eastAsia="仿宋_GB2312"/>
          <w:color w:val="000000"/>
          <w:sz w:val="28"/>
          <w:szCs w:val="28"/>
        </w:rPr>
        <w:t>reff0302YYYYMMDD.xml</w:t>
      </w:r>
      <w:r>
        <w:rPr>
          <w:rFonts w:hint="eastAsia" w:ascii="仿宋_GB2312" w:eastAsia="仿宋_GB2312"/>
          <w:color w:val="000000"/>
          <w:sz w:val="28"/>
          <w:szCs w:val="28"/>
          <w:lang w:val="en-US" w:eastAsia="zh-CN"/>
        </w:rPr>
        <w:t>文件</w:t>
      </w:r>
      <w:r>
        <w:rPr>
          <w:rFonts w:hint="eastAsia" w:ascii="仿宋_GB2312" w:hAnsi="Times New Roman" w:eastAsia="仿宋_GB2312" w:cs="仿宋_GB2312"/>
          <w:sz w:val="28"/>
          <w:szCs w:val="28"/>
        </w:rPr>
        <w:t>包括：标的证券代码、基础证券名称、基础证券</w:t>
      </w:r>
      <w:r>
        <w:rPr>
          <w:rFonts w:hint="eastAsia" w:ascii="仿宋_GB2312" w:hAnsi="Times New Roman" w:eastAsia="仿宋_GB2312" w:cs="仿宋_GB2312"/>
          <w:sz w:val="28"/>
          <w:szCs w:val="28"/>
          <w:lang w:val="en-US" w:eastAsia="zh-CN"/>
        </w:rPr>
        <w:t>证券</w:t>
      </w:r>
      <w:r>
        <w:rPr>
          <w:rFonts w:hint="eastAsia" w:ascii="仿宋_GB2312" w:hAnsi="Times New Roman" w:eastAsia="仿宋_GB2312" w:cs="仿宋_GB2312"/>
          <w:sz w:val="28"/>
          <w:szCs w:val="28"/>
        </w:rPr>
        <w:t>名称</w:t>
      </w:r>
      <w:r>
        <w:rPr>
          <w:rFonts w:hint="eastAsia" w:ascii="仿宋_GB2312" w:hAnsi="Times New Roman" w:eastAsia="仿宋_GB2312" w:cs="仿宋_GB2312"/>
          <w:sz w:val="28"/>
          <w:szCs w:val="28"/>
          <w:lang w:eastAsia="zh-CN"/>
        </w:rPr>
        <w:t>（</w:t>
      </w:r>
      <w:r>
        <w:rPr>
          <w:rFonts w:hint="eastAsia" w:ascii="仿宋_GB2312" w:hAnsi="Times New Roman" w:eastAsia="仿宋_GB2312" w:cs="仿宋_GB2312"/>
          <w:sz w:val="28"/>
          <w:szCs w:val="28"/>
          <w:lang w:val="en-US" w:eastAsia="zh-CN"/>
        </w:rPr>
        <w:t>长）</w:t>
      </w:r>
      <w:r>
        <w:rPr>
          <w:rFonts w:hint="eastAsia" w:ascii="仿宋_GB2312" w:hAnsi="Times New Roman" w:eastAsia="仿宋_GB2312" w:cs="仿宋_GB2312"/>
          <w:sz w:val="28"/>
          <w:szCs w:val="28"/>
          <w:lang w:eastAsia="zh-CN"/>
        </w:rPr>
        <w:t>、</w:t>
      </w:r>
      <w:r>
        <w:rPr>
          <w:rFonts w:hint="eastAsia" w:ascii="仿宋_GB2312" w:hAnsi="Times New Roman" w:eastAsia="仿宋_GB2312" w:cs="仿宋_GB2312"/>
          <w:sz w:val="28"/>
          <w:szCs w:val="28"/>
        </w:rPr>
        <w:t>标的证券类型、标的证券前收盘，共</w:t>
      </w:r>
      <w:r>
        <w:rPr>
          <w:rFonts w:hint="eastAsia" w:ascii="仿宋_GB2312" w:hAnsi="Times New Roman" w:eastAsia="仿宋_GB2312" w:cs="仿宋_GB2312"/>
          <w:sz w:val="28"/>
          <w:szCs w:val="28"/>
          <w:lang w:val="en-US" w:eastAsia="zh-CN"/>
        </w:rPr>
        <w:t>5</w:t>
      </w:r>
      <w:r>
        <w:rPr>
          <w:rFonts w:hint="eastAsia" w:ascii="仿宋_GB2312" w:hAnsi="Times New Roman" w:eastAsia="仿宋_GB2312" w:cs="仿宋_GB2312"/>
          <w:sz w:val="28"/>
          <w:szCs w:val="28"/>
        </w:rPr>
        <w:t>个。标的类字段提供合约标的信息，</w:t>
      </w:r>
      <w:r>
        <w:rPr>
          <w:rFonts w:hint="eastAsia" w:ascii="仿宋_GB2312" w:eastAsia="仿宋_GB2312"/>
          <w:color w:val="000000"/>
          <w:sz w:val="28"/>
          <w:szCs w:val="28"/>
        </w:rPr>
        <w:t>reff03MMDD.txt</w:t>
      </w:r>
      <w:r>
        <w:rPr>
          <w:rFonts w:hint="eastAsia" w:ascii="仿宋_GB2312" w:eastAsia="仿宋_GB2312"/>
          <w:color w:val="000000"/>
          <w:sz w:val="28"/>
          <w:szCs w:val="28"/>
          <w:lang w:val="en-US" w:eastAsia="zh-CN"/>
        </w:rPr>
        <w:t>文件</w:t>
      </w:r>
      <w:r>
        <w:rPr>
          <w:rFonts w:hint="eastAsia" w:ascii="仿宋_GB2312" w:hAnsi="Times New Roman" w:eastAsia="仿宋_GB2312" w:cs="仿宋_GB2312"/>
          <w:sz w:val="28"/>
          <w:szCs w:val="28"/>
        </w:rPr>
        <w:t>包括：标的证券代码、基础证券名称、标的证券类型、标的证券前收盘，共4个。期权经营机构可以从现货行情获取该类字段内容，并应能够在</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期权系统中对该类字段内容进行实时调整。</w:t>
      </w:r>
    </w:p>
    <w:p w14:paraId="5B41B6CC">
      <w:pPr>
        <w:numPr>
          <w:ilvl w:val="0"/>
          <w:numId w:val="0"/>
        </w:numPr>
        <w:ind w:firstLine="560" w:firstLineChars="200"/>
        <w:rPr>
          <w:rFonts w:hint="eastAsia" w:ascii="仿宋_GB2312" w:hAnsi="Times New Roman" w:eastAsia="仿宋_GB2312" w:cs="仿宋_GB2312"/>
          <w:sz w:val="28"/>
          <w:szCs w:val="28"/>
        </w:rPr>
      </w:pPr>
      <w:r>
        <w:rPr>
          <w:rFonts w:hint="default" w:ascii="Times New Roman" w:hAnsi="Times New Roman" w:eastAsia="楷体_GB2312" w:cs="Times New Roman"/>
          <w:kern w:val="2"/>
          <w:sz w:val="28"/>
          <w:szCs w:val="28"/>
          <w:lang w:val="en-US" w:eastAsia="zh-CN" w:bidi="ar-SA"/>
        </w:rPr>
        <w:t>（四）</w:t>
      </w:r>
      <w:r>
        <w:rPr>
          <w:rFonts w:hint="default" w:ascii="Times New Roman" w:hAnsi="Times New Roman" w:eastAsia="楷体_GB2312" w:cs="Times New Roman"/>
          <w:sz w:val="28"/>
          <w:szCs w:val="28"/>
        </w:rPr>
        <w:t>其他类字段</w:t>
      </w:r>
    </w:p>
    <w:p w14:paraId="253ABEA0">
      <w:pPr>
        <w:numPr>
          <w:ilvl w:val="0"/>
          <w:numId w:val="0"/>
        </w:numPr>
        <w:ind w:firstLine="560" w:firstLineChars="200"/>
        <w:rPr>
          <w:rFonts w:hint="eastAsia" w:ascii="仿宋_GB2312" w:hAnsi="Times New Roman" w:eastAsia="仿宋_GB2312" w:cs="仿宋_GB2312"/>
          <w:sz w:val="28"/>
          <w:szCs w:val="28"/>
        </w:rPr>
      </w:pPr>
      <w:r>
        <w:rPr>
          <w:rFonts w:hint="eastAsia" w:ascii="仿宋_GB2312" w:hAnsi="Times New Roman" w:eastAsia="仿宋_GB2312" w:cs="仿宋_GB2312"/>
          <w:sz w:val="28"/>
          <w:szCs w:val="28"/>
        </w:rPr>
        <w:t>其他类字段内容为辅助信息，包括：涨跌幅限制类型、参考数据类型、</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期权合约状态信息标签，共3个。该类字段不影响经营机构</w:t>
      </w:r>
      <w:r>
        <w:rPr>
          <w:rFonts w:hint="eastAsia" w:ascii="仿宋_GB2312" w:hAnsi="Times New Roman" w:eastAsia="仿宋_GB2312" w:cs="仿宋_GB2312"/>
          <w:sz w:val="28"/>
          <w:szCs w:val="28"/>
          <w:lang w:val="en-US" w:eastAsia="zh-CN"/>
        </w:rPr>
        <w:t>股票</w:t>
      </w:r>
      <w:r>
        <w:rPr>
          <w:rFonts w:hint="eastAsia" w:ascii="仿宋_GB2312" w:hAnsi="Times New Roman" w:eastAsia="仿宋_GB2312" w:cs="仿宋_GB2312"/>
          <w:sz w:val="28"/>
          <w:szCs w:val="28"/>
        </w:rPr>
        <w:t>期权系统的正常运行。</w:t>
      </w:r>
    </w:p>
    <w:p w14:paraId="5B94EA8A">
      <w:pPr>
        <w:numPr>
          <w:ilvl w:val="0"/>
          <w:numId w:val="0"/>
        </w:numPr>
        <w:ind w:firstLine="560" w:firstLineChars="200"/>
        <w:rPr>
          <w:rFonts w:hint="eastAsia" w:ascii="仿宋_GB2312" w:hAnsi="Times New Roman" w:eastAsia="仿宋_GB2312" w:cs="仿宋_GB2312"/>
          <w:sz w:val="28"/>
          <w:szCs w:val="28"/>
        </w:rPr>
      </w:pPr>
    </w:p>
    <w:p w14:paraId="24F3F2D5">
      <w:pPr>
        <w:numPr>
          <w:ilvl w:val="0"/>
          <w:numId w:val="0"/>
        </w:numPr>
        <w:ind w:firstLine="560" w:firstLineChars="200"/>
        <w:rPr>
          <w:rFonts w:hint="eastAsia" w:ascii="仿宋_GB2312" w:hAnsi="Times New Roman" w:eastAsia="仿宋_GB2312" w:cs="仿宋_GB2312"/>
          <w:sz w:val="28"/>
          <w:szCs w:val="28"/>
        </w:rPr>
      </w:pPr>
    </w:p>
    <w:p w14:paraId="6881F502">
      <w:pPr>
        <w:numPr>
          <w:ilvl w:val="0"/>
          <w:numId w:val="0"/>
        </w:numPr>
        <w:ind w:firstLine="560" w:firstLineChars="200"/>
        <w:rPr>
          <w:rFonts w:hint="eastAsia" w:ascii="仿宋_GB2312" w:hAnsi="Times New Roman" w:eastAsia="仿宋_GB2312" w:cs="仿宋_GB2312"/>
          <w:sz w:val="28"/>
          <w:szCs w:val="28"/>
        </w:rPr>
      </w:pPr>
    </w:p>
    <w:p w14:paraId="4E583C77">
      <w:pPr>
        <w:numPr>
          <w:ilvl w:val="0"/>
          <w:numId w:val="0"/>
        </w:numPr>
        <w:ind w:firstLine="560" w:firstLineChars="200"/>
        <w:rPr>
          <w:rFonts w:hint="eastAsia" w:ascii="仿宋_GB2312" w:hAnsi="Times New Roman" w:eastAsia="仿宋_GB2312" w:cs="仿宋_GB2312"/>
          <w:sz w:val="28"/>
          <w:szCs w:val="28"/>
        </w:rPr>
      </w:pPr>
    </w:p>
    <w:p w14:paraId="05E16227">
      <w:pPr>
        <w:numPr>
          <w:ilvl w:val="0"/>
          <w:numId w:val="0"/>
        </w:numPr>
        <w:ind w:firstLine="560" w:firstLineChars="200"/>
        <w:rPr>
          <w:rFonts w:hint="eastAsia" w:ascii="仿宋_GB2312" w:hAnsi="Times New Roman" w:eastAsia="仿宋_GB2312" w:cs="仿宋_GB2312"/>
          <w:sz w:val="28"/>
          <w:szCs w:val="28"/>
        </w:rPr>
      </w:pPr>
    </w:p>
    <w:p w14:paraId="02769F7E">
      <w:pPr>
        <w:numPr>
          <w:ilvl w:val="0"/>
          <w:numId w:val="0"/>
        </w:numPr>
        <w:ind w:firstLine="560" w:firstLineChars="200"/>
        <w:rPr>
          <w:rFonts w:hint="eastAsia" w:ascii="仿宋_GB2312" w:hAnsi="Times New Roman" w:eastAsia="仿宋_GB2312" w:cs="仿宋_GB2312"/>
          <w:sz w:val="28"/>
          <w:szCs w:val="28"/>
        </w:rPr>
      </w:pPr>
    </w:p>
    <w:p w14:paraId="7897AA82">
      <w:pPr>
        <w:numPr>
          <w:ilvl w:val="0"/>
          <w:numId w:val="0"/>
        </w:numPr>
        <w:ind w:firstLine="560" w:firstLineChars="200"/>
        <w:rPr>
          <w:rFonts w:hint="eastAsia" w:ascii="仿宋_GB2312" w:hAnsi="Times New Roman" w:eastAsia="仿宋_GB2312" w:cs="仿宋_GB2312"/>
          <w:sz w:val="28"/>
          <w:szCs w:val="28"/>
        </w:rPr>
      </w:pPr>
    </w:p>
    <w:p w14:paraId="45B6C148">
      <w:pPr>
        <w:numPr>
          <w:ilvl w:val="0"/>
          <w:numId w:val="0"/>
        </w:numPr>
        <w:ind w:firstLine="560" w:firstLineChars="200"/>
        <w:rPr>
          <w:rFonts w:hint="eastAsia" w:ascii="仿宋_GB2312" w:hAnsi="Times New Roman" w:eastAsia="仿宋_GB2312" w:cs="仿宋_GB2312"/>
          <w:sz w:val="28"/>
          <w:szCs w:val="28"/>
        </w:rPr>
      </w:pPr>
    </w:p>
    <w:p w14:paraId="13D8335D">
      <w:pPr>
        <w:numPr>
          <w:ilvl w:val="0"/>
          <w:numId w:val="0"/>
        </w:numPr>
        <w:ind w:firstLine="560" w:firstLineChars="200"/>
        <w:rPr>
          <w:rFonts w:hint="eastAsia" w:ascii="仿宋_GB2312" w:hAnsi="Times New Roman" w:eastAsia="仿宋_GB2312" w:cs="仿宋_GB2312"/>
          <w:sz w:val="28"/>
          <w:szCs w:val="28"/>
        </w:rPr>
      </w:pPr>
    </w:p>
    <w:p w14:paraId="178F0B13">
      <w:pPr>
        <w:numPr>
          <w:ilvl w:val="0"/>
          <w:numId w:val="0"/>
        </w:numPr>
        <w:ind w:firstLine="560" w:firstLineChars="200"/>
        <w:rPr>
          <w:rFonts w:hint="eastAsia" w:ascii="仿宋_GB2312" w:hAnsi="Times New Roman" w:eastAsia="仿宋_GB2312" w:cs="仿宋_GB2312"/>
          <w:sz w:val="28"/>
          <w:szCs w:val="28"/>
        </w:rPr>
      </w:pPr>
    </w:p>
    <w:p w14:paraId="3B1A1CCA">
      <w:pPr>
        <w:numPr>
          <w:ilvl w:val="0"/>
          <w:numId w:val="0"/>
        </w:numPr>
        <w:ind w:firstLine="560" w:firstLineChars="200"/>
        <w:rPr>
          <w:rFonts w:hint="eastAsia" w:ascii="仿宋_GB2312" w:hAnsi="Times New Roman" w:eastAsia="仿宋_GB2312" w:cs="仿宋_GB2312"/>
          <w:sz w:val="28"/>
          <w:szCs w:val="28"/>
        </w:rPr>
      </w:pPr>
    </w:p>
    <w:p w14:paraId="60FB6E52">
      <w:pPr>
        <w:numPr>
          <w:ilvl w:val="0"/>
          <w:numId w:val="0"/>
        </w:numPr>
        <w:ind w:firstLine="0" w:firstLineChars="0"/>
        <w:rPr>
          <w:rFonts w:hint="eastAsia" w:ascii="仿宋_GB2312" w:hAnsi="Times New Roman" w:eastAsia="仿宋_GB2312" w:cs="仿宋_GB2312"/>
          <w:sz w:val="28"/>
          <w:szCs w:val="28"/>
        </w:rPr>
      </w:pPr>
    </w:p>
    <w:p w14:paraId="60803C6E">
      <w:pPr>
        <w:numPr>
          <w:ilvl w:val="0"/>
          <w:numId w:val="0"/>
        </w:numPr>
        <w:ind w:firstLine="0" w:firstLineChars="0"/>
        <w:rPr>
          <w:rFonts w:hint="eastAsia" w:ascii="仿宋_GB2312" w:hAnsi="Times New Roman" w:eastAsia="仿宋_GB2312" w:cs="仿宋_GB2312"/>
          <w:sz w:val="28"/>
          <w:szCs w:val="28"/>
        </w:rPr>
      </w:pPr>
    </w:p>
    <w:p w14:paraId="730F6480">
      <w:pPr>
        <w:numPr>
          <w:ilvl w:val="0"/>
          <w:numId w:val="0"/>
        </w:numPr>
        <w:ind w:firstLine="0" w:firstLineChars="0"/>
        <w:rPr>
          <w:rFonts w:hint="eastAsia" w:ascii="仿宋_GB2312" w:hAnsi="Times New Roman" w:eastAsia="仿宋_GB2312" w:cs="仿宋_GB2312"/>
          <w:sz w:val="28"/>
          <w:szCs w:val="28"/>
        </w:rPr>
      </w:pPr>
    </w:p>
    <w:p w14:paraId="1186E307">
      <w:pPr>
        <w:numPr>
          <w:ilvl w:val="0"/>
          <w:numId w:val="0"/>
        </w:numPr>
        <w:ind w:firstLine="0" w:firstLineChars="0"/>
        <w:rPr>
          <w:rFonts w:hint="eastAsia" w:ascii="仿宋_GB2312" w:hAnsi="Times New Roman" w:eastAsia="仿宋_GB2312" w:cs="仿宋_GB2312"/>
          <w:sz w:val="28"/>
          <w:szCs w:val="28"/>
        </w:rPr>
      </w:pPr>
    </w:p>
    <w:p w14:paraId="150E9243">
      <w:pPr>
        <w:pStyle w:val="5"/>
        <w:ind w:firstLine="0" w:firstLineChars="0"/>
        <w:jc w:val="center"/>
        <w:rPr>
          <w:rFonts w:ascii="黑体" w:hAnsi="黑体" w:eastAsia="黑体"/>
          <w:sz w:val="32"/>
        </w:rPr>
      </w:pPr>
      <w:bookmarkStart w:id="464" w:name="_Toc12309"/>
      <w:bookmarkStart w:id="465" w:name="_Toc408301004"/>
      <w:bookmarkStart w:id="466" w:name="_Toc408749936"/>
      <w:bookmarkStart w:id="467" w:name="_Toc23689"/>
      <w:bookmarkStart w:id="468" w:name="_Toc22309"/>
      <w:bookmarkStart w:id="469" w:name="_Toc23947029"/>
      <w:bookmarkStart w:id="470" w:name="_Toc31518"/>
      <w:bookmarkStart w:id="471" w:name="_Toc406436506"/>
      <w:bookmarkStart w:id="472" w:name="_Toc406439140"/>
      <w:bookmarkStart w:id="473" w:name="_Toc406438955"/>
      <w:bookmarkStart w:id="474" w:name="_Toc406438923"/>
      <w:r>
        <w:rPr>
          <w:rFonts w:hint="eastAsia" w:ascii="黑体" w:hAnsi="黑体" w:eastAsia="黑体"/>
          <w:sz w:val="32"/>
        </w:rPr>
        <w:t>第十七章</w:t>
      </w:r>
      <w:r>
        <w:rPr>
          <w:rFonts w:ascii="黑体" w:hAnsi="黑体" w:eastAsia="黑体"/>
          <w:sz w:val="32"/>
        </w:rPr>
        <w:t xml:space="preserve"> </w:t>
      </w:r>
      <w:r>
        <w:rPr>
          <w:rFonts w:hint="eastAsia" w:ascii="黑体" w:hAnsi="黑体" w:eastAsia="黑体"/>
          <w:sz w:val="32"/>
        </w:rPr>
        <w:t>标的证券监管与保证金监控</w:t>
      </w:r>
      <w:bookmarkEnd w:id="464"/>
      <w:bookmarkEnd w:id="465"/>
      <w:bookmarkEnd w:id="466"/>
      <w:bookmarkEnd w:id="467"/>
      <w:bookmarkEnd w:id="468"/>
      <w:bookmarkEnd w:id="469"/>
      <w:bookmarkEnd w:id="470"/>
    </w:p>
    <w:p w14:paraId="39D60B70">
      <w:pPr>
        <w:ind w:firstLine="560"/>
        <w:rPr>
          <w:rFonts w:hint="eastAsia" w:ascii="Times New Roman" w:hAnsi="Times New Roman" w:eastAsia="黑体"/>
          <w:sz w:val="28"/>
          <w:szCs w:val="28"/>
        </w:rPr>
      </w:pPr>
      <w:bookmarkStart w:id="475" w:name="_Toc17343"/>
      <w:bookmarkStart w:id="476" w:name="_Toc23698"/>
      <w:bookmarkStart w:id="477" w:name="_Toc26593"/>
      <w:bookmarkStart w:id="478" w:name="_Toc408749937"/>
      <w:bookmarkStart w:id="479" w:name="_Toc23947030"/>
      <w:bookmarkStart w:id="480" w:name="_Toc22706"/>
      <w:r>
        <w:rPr>
          <w:rFonts w:hint="eastAsia" w:ascii="Times New Roman" w:hAnsi="Times New Roman" w:eastAsia="黑体"/>
          <w:sz w:val="28"/>
          <w:szCs w:val="28"/>
        </w:rPr>
        <w:t>一、标的证券监管</w:t>
      </w:r>
      <w:bookmarkEnd w:id="475"/>
      <w:bookmarkEnd w:id="476"/>
      <w:bookmarkEnd w:id="477"/>
      <w:bookmarkEnd w:id="478"/>
      <w:bookmarkEnd w:id="479"/>
      <w:bookmarkEnd w:id="480"/>
    </w:p>
    <w:p w14:paraId="7DEB8E73">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期货公司从事股票期权及其标的证券业务，应满足证监会和本所的有关监管及风控要求。</w:t>
      </w:r>
    </w:p>
    <w:p w14:paraId="78C7D2AC">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期货公司必须通过前端控制，确保其股票期权客户只能从事与股票期权备兑开仓以及行权相关的标的证券业务。本所将通过风险监控、抽查等，加强对期货公司开展的证券现货业务的监管。一旦发现期货公司客户现货交易超出上述范围，经查实后，按相关规定进行处理。</w:t>
      </w:r>
    </w:p>
    <w:p w14:paraId="5884A4DC">
      <w:pPr>
        <w:ind w:firstLine="560"/>
        <w:rPr>
          <w:rFonts w:hint="eastAsia" w:ascii="Times New Roman" w:hAnsi="Times New Roman" w:eastAsia="黑体"/>
          <w:sz w:val="28"/>
          <w:szCs w:val="28"/>
        </w:rPr>
      </w:pPr>
      <w:bookmarkStart w:id="481" w:name="_Toc23947031"/>
      <w:bookmarkStart w:id="482" w:name="_Toc408749938"/>
      <w:bookmarkStart w:id="483" w:name="_Toc3435"/>
      <w:bookmarkStart w:id="484" w:name="_Toc7024"/>
      <w:bookmarkStart w:id="485" w:name="_Toc28610"/>
      <w:bookmarkStart w:id="486" w:name="_Toc27602"/>
      <w:r>
        <w:rPr>
          <w:rFonts w:hint="eastAsia" w:ascii="Times New Roman" w:hAnsi="Times New Roman" w:eastAsia="黑体"/>
          <w:sz w:val="28"/>
          <w:szCs w:val="28"/>
        </w:rPr>
        <w:t>二、保证金监控</w:t>
      </w:r>
      <w:bookmarkEnd w:id="481"/>
      <w:bookmarkEnd w:id="482"/>
      <w:bookmarkEnd w:id="483"/>
      <w:bookmarkEnd w:id="484"/>
      <w:bookmarkEnd w:id="485"/>
      <w:bookmarkEnd w:id="486"/>
    </w:p>
    <w:p w14:paraId="6F02B0D6">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期货保证金监控中心负责对期货公司开展股票期权经纪业务涉及的客户保证金以及相应的证券交易结算资金的安全进行监控。期货公司应当根据期货保证金监控中心的要求报送客户保证金安全存管相关信息。</w:t>
      </w:r>
    </w:p>
    <w:p w14:paraId="03234B19">
      <w:pPr>
        <w:jc w:val="both"/>
        <w:outlineLvl w:val="0"/>
        <w:rPr>
          <w:rFonts w:ascii="Times New Roman" w:hAnsi="Times New Roman" w:eastAsia="黑体"/>
          <w:b/>
          <w:bCs/>
          <w:sz w:val="30"/>
          <w:szCs w:val="24"/>
        </w:rPr>
      </w:pPr>
    </w:p>
    <w:p w14:paraId="7A897081">
      <w:pPr>
        <w:jc w:val="both"/>
        <w:outlineLvl w:val="0"/>
        <w:rPr>
          <w:rFonts w:ascii="Times New Roman" w:hAnsi="Times New Roman" w:eastAsia="黑体"/>
          <w:b/>
          <w:bCs/>
          <w:sz w:val="30"/>
          <w:szCs w:val="24"/>
        </w:rPr>
      </w:pPr>
    </w:p>
    <w:p w14:paraId="16497669">
      <w:pPr>
        <w:jc w:val="both"/>
        <w:outlineLvl w:val="0"/>
        <w:rPr>
          <w:rFonts w:ascii="Times New Roman" w:hAnsi="Times New Roman" w:eastAsia="黑体"/>
          <w:b/>
          <w:bCs/>
          <w:sz w:val="30"/>
          <w:szCs w:val="24"/>
        </w:rPr>
      </w:pPr>
    </w:p>
    <w:p w14:paraId="54551227">
      <w:pPr>
        <w:jc w:val="both"/>
        <w:outlineLvl w:val="0"/>
        <w:rPr>
          <w:rFonts w:ascii="Times New Roman" w:hAnsi="Times New Roman" w:eastAsia="黑体"/>
          <w:b/>
          <w:bCs/>
          <w:sz w:val="30"/>
          <w:szCs w:val="24"/>
        </w:rPr>
      </w:pPr>
    </w:p>
    <w:p w14:paraId="5F572CF4">
      <w:pPr>
        <w:jc w:val="both"/>
        <w:outlineLvl w:val="0"/>
        <w:rPr>
          <w:rFonts w:ascii="Times New Roman" w:hAnsi="Times New Roman" w:eastAsia="黑体"/>
          <w:b/>
          <w:bCs/>
          <w:sz w:val="30"/>
          <w:szCs w:val="24"/>
        </w:rPr>
      </w:pPr>
    </w:p>
    <w:p w14:paraId="054ED65C">
      <w:pPr>
        <w:jc w:val="both"/>
        <w:outlineLvl w:val="0"/>
        <w:rPr>
          <w:rFonts w:ascii="Times New Roman" w:hAnsi="Times New Roman" w:eastAsia="黑体"/>
          <w:b/>
          <w:bCs/>
          <w:sz w:val="30"/>
          <w:szCs w:val="24"/>
        </w:rPr>
      </w:pPr>
    </w:p>
    <w:p w14:paraId="25A0AB5F">
      <w:pPr>
        <w:jc w:val="both"/>
        <w:outlineLvl w:val="0"/>
        <w:rPr>
          <w:rFonts w:ascii="Times New Roman" w:hAnsi="Times New Roman" w:eastAsia="黑体"/>
          <w:b/>
          <w:bCs/>
          <w:sz w:val="30"/>
          <w:szCs w:val="24"/>
        </w:rPr>
      </w:pPr>
    </w:p>
    <w:p w14:paraId="3AEACDE9">
      <w:pPr>
        <w:pStyle w:val="5"/>
        <w:ind w:firstLine="0" w:firstLineChars="0"/>
        <w:jc w:val="center"/>
        <w:rPr>
          <w:rFonts w:ascii="黑体" w:hAnsi="黑体" w:eastAsia="黑体"/>
          <w:sz w:val="32"/>
        </w:rPr>
      </w:pPr>
      <w:bookmarkStart w:id="487" w:name="_Toc408749939"/>
      <w:bookmarkStart w:id="488" w:name="_Toc11486"/>
      <w:bookmarkStart w:id="489" w:name="_Toc23661"/>
      <w:bookmarkStart w:id="490" w:name="_Toc23947032"/>
      <w:bookmarkStart w:id="491" w:name="_Toc17900"/>
      <w:bookmarkStart w:id="492" w:name="_Toc10329"/>
      <w:bookmarkStart w:id="493" w:name="_Toc408301005"/>
      <w:r>
        <w:rPr>
          <w:rFonts w:hint="eastAsia" w:ascii="黑体" w:hAnsi="黑体" w:eastAsia="黑体"/>
          <w:sz w:val="32"/>
        </w:rPr>
        <w:t>第十八章</w:t>
      </w:r>
      <w:r>
        <w:rPr>
          <w:rFonts w:ascii="黑体" w:hAnsi="黑体" w:eastAsia="黑体"/>
          <w:sz w:val="32"/>
        </w:rPr>
        <w:t xml:space="preserve"> </w:t>
      </w:r>
      <w:r>
        <w:rPr>
          <w:rFonts w:hint="eastAsia" w:ascii="黑体" w:hAnsi="黑体" w:eastAsia="黑体"/>
          <w:sz w:val="32"/>
        </w:rPr>
        <w:t>投资者教育与客户投诉处理</w:t>
      </w:r>
      <w:bookmarkEnd w:id="471"/>
      <w:bookmarkEnd w:id="472"/>
      <w:bookmarkEnd w:id="473"/>
      <w:bookmarkEnd w:id="474"/>
      <w:bookmarkEnd w:id="487"/>
      <w:bookmarkEnd w:id="488"/>
      <w:bookmarkEnd w:id="489"/>
      <w:bookmarkEnd w:id="490"/>
      <w:bookmarkEnd w:id="491"/>
      <w:bookmarkEnd w:id="492"/>
      <w:bookmarkEnd w:id="493"/>
    </w:p>
    <w:p w14:paraId="0E781B29">
      <w:pPr>
        <w:ind w:firstLine="560"/>
        <w:rPr>
          <w:rFonts w:hint="eastAsia" w:ascii="Times New Roman" w:hAnsi="Times New Roman" w:eastAsia="黑体"/>
          <w:sz w:val="28"/>
          <w:szCs w:val="28"/>
        </w:rPr>
      </w:pPr>
      <w:bookmarkStart w:id="494" w:name="_Toc24970"/>
      <w:bookmarkStart w:id="495" w:name="_Toc17404"/>
      <w:bookmarkStart w:id="496" w:name="_Toc408749940"/>
      <w:bookmarkStart w:id="497" w:name="_Toc8590"/>
      <w:bookmarkStart w:id="498" w:name="_Toc406438924"/>
      <w:bookmarkStart w:id="499" w:name="_Toc11860"/>
      <w:bookmarkStart w:id="500" w:name="_Toc23947033"/>
      <w:r>
        <w:rPr>
          <w:rFonts w:hint="eastAsia" w:ascii="Times New Roman" w:hAnsi="Times New Roman" w:eastAsia="黑体"/>
          <w:sz w:val="28"/>
          <w:szCs w:val="28"/>
        </w:rPr>
        <w:t>一、投资者教育</w:t>
      </w:r>
      <w:bookmarkEnd w:id="494"/>
      <w:bookmarkEnd w:id="495"/>
      <w:bookmarkEnd w:id="496"/>
      <w:bookmarkEnd w:id="497"/>
      <w:bookmarkEnd w:id="498"/>
      <w:bookmarkEnd w:id="499"/>
      <w:bookmarkEnd w:id="500"/>
    </w:p>
    <w:p w14:paraId="6A034126">
      <w:pPr>
        <w:ind w:firstLine="560" w:firstLineChars="200"/>
        <w:rPr>
          <w:rFonts w:ascii="仿宋_GB2312" w:eastAsia="仿宋_GB2312"/>
          <w:color w:val="000000"/>
          <w:sz w:val="28"/>
          <w:szCs w:val="28"/>
        </w:rPr>
      </w:pPr>
      <w:r>
        <w:rPr>
          <w:rFonts w:hint="eastAsia" w:ascii="仿宋_GB2312" w:eastAsia="仿宋_GB2312"/>
          <w:color w:val="000000"/>
          <w:sz w:val="28"/>
          <w:szCs w:val="28"/>
        </w:rPr>
        <w:t>股票期权业务投资者教育工作的目的是使客户掌握股票期权业务知识、交易规则，了解股票期权业务风险，树立正确的投资理念，理性参与</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期权交易，增强风险防范意识，依法维护自身权益，自觉维护市场秩序，促进股票期权市场的规范发展。</w:t>
      </w:r>
    </w:p>
    <w:p w14:paraId="5B295215">
      <w:pPr>
        <w:ind w:firstLine="560" w:firstLineChars="200"/>
        <w:rPr>
          <w:rFonts w:ascii="Times New Roman" w:hAnsi="Times New Roman" w:eastAsia="楷体_GB2312"/>
          <w:b w:val="0"/>
          <w:color w:val="auto"/>
          <w:sz w:val="28"/>
          <w:szCs w:val="28"/>
        </w:rPr>
      </w:pPr>
      <w:bookmarkStart w:id="501" w:name="_Toc406438925"/>
      <w:r>
        <w:rPr>
          <w:rFonts w:hint="default" w:ascii="Times New Roman" w:hAnsi="Times New Roman" w:eastAsia="楷体_GB2312"/>
          <w:b w:val="0"/>
          <w:color w:val="auto"/>
          <w:sz w:val="28"/>
          <w:szCs w:val="28"/>
        </w:rPr>
        <w:t>（一）投资者教育工作内容</w:t>
      </w:r>
      <w:bookmarkEnd w:id="501"/>
    </w:p>
    <w:p w14:paraId="6AA5E7BB">
      <w:pPr>
        <w:ind w:firstLine="560" w:firstLineChars="200"/>
        <w:rPr>
          <w:rFonts w:ascii="仿宋_GB2312" w:eastAsia="仿宋_GB2312"/>
          <w:color w:val="000000"/>
          <w:sz w:val="28"/>
          <w:szCs w:val="28"/>
        </w:rPr>
      </w:pPr>
      <w:r>
        <w:rPr>
          <w:rFonts w:hint="eastAsia" w:ascii="仿宋_GB2312" w:eastAsia="仿宋_GB2312"/>
          <w:color w:val="000000"/>
          <w:sz w:val="28"/>
          <w:szCs w:val="28"/>
        </w:rPr>
        <w:t>股票期权业务投资者教育的主要内容包括股票期权业务基础知识、证券现货基础知识、相关法律法规、</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期权业务规则、</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期权业务风险、投资者适当性管理标准、股票期权经纪合同的主要条款、股票期权开户流程等。</w:t>
      </w:r>
    </w:p>
    <w:p w14:paraId="3AF5B239">
      <w:pPr>
        <w:ind w:firstLine="560" w:firstLineChars="200"/>
        <w:rPr>
          <w:rFonts w:ascii="Times New Roman" w:hAnsi="Times New Roman" w:eastAsia="楷体_GB2312"/>
          <w:b w:val="0"/>
          <w:color w:val="auto"/>
          <w:sz w:val="28"/>
          <w:szCs w:val="28"/>
        </w:rPr>
      </w:pPr>
      <w:bookmarkStart w:id="502" w:name="_Toc406438926"/>
      <w:r>
        <w:rPr>
          <w:rFonts w:hint="default" w:ascii="Times New Roman" w:hAnsi="Times New Roman" w:eastAsia="楷体_GB2312"/>
          <w:b w:val="0"/>
          <w:color w:val="auto"/>
          <w:sz w:val="28"/>
          <w:szCs w:val="28"/>
        </w:rPr>
        <w:t>（二）投资者教育工作要求及工作形式</w:t>
      </w:r>
      <w:bookmarkEnd w:id="502"/>
    </w:p>
    <w:p w14:paraId="57A0D0BE">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1.</w:t>
      </w:r>
      <w:r>
        <w:rPr>
          <w:rFonts w:hint="eastAsia" w:ascii="仿宋_GB2312" w:eastAsia="仿宋_GB2312"/>
          <w:color w:val="000000"/>
          <w:sz w:val="28"/>
          <w:szCs w:val="28"/>
        </w:rPr>
        <w:t>股票期权经纪业务部门应制定本公司股票期权投资者教育工作制度，统筹组织全公司投资者教育工作。</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经纪业务部门可以采取如下形式开展投资者教育活动：集中授课、制作和发放投资者教育相关材料、设置公司网站投资者教育专栏、利用行情交易系统等揭示股票期权交易风险、组织开展股票期权仿真交易、与证券监管部门及宣传机构等合作开展投资者教育活动等。</w:t>
      </w:r>
    </w:p>
    <w:p w14:paraId="2D7364AD">
      <w:pPr>
        <w:ind w:firstLine="560" w:firstLineChars="200"/>
        <w:rPr>
          <w:rFonts w:ascii="仿宋_GB2312" w:eastAsia="仿宋_GB2312"/>
          <w:color w:val="000000"/>
          <w:sz w:val="28"/>
          <w:szCs w:val="28"/>
        </w:rPr>
      </w:pPr>
      <w:r>
        <w:rPr>
          <w:rFonts w:hint="eastAsia" w:ascii="仿宋_GB2312" w:eastAsia="仿宋_GB2312"/>
          <w:color w:val="000000"/>
          <w:sz w:val="28"/>
          <w:szCs w:val="28"/>
        </w:rPr>
        <w:t>期货公司应当在公司网站建立与本所投资者教育网站</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期权投教专区(</w:t>
      </w:r>
      <w:r>
        <w:rPr>
          <w:rFonts w:hint="eastAsia" w:ascii="Times New Roman" w:hAnsi="Times New Roman" w:eastAsia="仿宋_GB2312"/>
          <w:color w:val="auto"/>
          <w:sz w:val="28"/>
          <w:szCs w:val="28"/>
        </w:rPr>
        <w:t>http://edu.sse.com.cn/college/qqxytj/</w:t>
      </w:r>
      <w:r>
        <w:rPr>
          <w:rFonts w:hint="eastAsia" w:ascii="仿宋_GB2312" w:eastAsia="仿宋_GB2312"/>
          <w:color w:val="000000"/>
          <w:sz w:val="28"/>
          <w:szCs w:val="28"/>
        </w:rPr>
        <w:t>)的链接，并根据需要或本所要求，及时向客户发布本所提供的有关</w:t>
      </w:r>
      <w:r>
        <w:rPr>
          <w:rFonts w:hint="eastAsia" w:ascii="仿宋_GB2312" w:eastAsia="仿宋_GB2312"/>
          <w:color w:val="000000"/>
          <w:sz w:val="28"/>
          <w:szCs w:val="28"/>
          <w:lang w:val="en-US" w:eastAsia="zh-CN"/>
        </w:rPr>
        <w:t>股票</w:t>
      </w:r>
      <w:r>
        <w:rPr>
          <w:rFonts w:hint="eastAsia" w:ascii="仿宋_GB2312" w:eastAsia="仿宋_GB2312"/>
          <w:color w:val="000000"/>
          <w:sz w:val="28"/>
          <w:szCs w:val="28"/>
        </w:rPr>
        <w:t>期权投资者教育的相关资料。建议期货公司有效利用微信、微博等新媒体开展</w:t>
      </w:r>
      <w:r>
        <w:rPr>
          <w:rFonts w:ascii="Times New Roman" w:hAnsi="Times New Roman" w:eastAsia="仿宋_GB2312"/>
          <w:sz w:val="28"/>
          <w:szCs w:val="28"/>
        </w:rPr>
        <w:t>股票</w:t>
      </w:r>
      <w:r>
        <w:rPr>
          <w:rFonts w:hint="eastAsia" w:ascii="仿宋_GB2312" w:eastAsia="仿宋_GB2312"/>
          <w:color w:val="000000"/>
          <w:sz w:val="28"/>
          <w:szCs w:val="28"/>
        </w:rPr>
        <w:t>期权投教工作，比如设立微信公众号、服务号等，也可组织客户或相关人员关注“上交所期权之家”微信公众号（微信号：</w:t>
      </w:r>
      <w:r>
        <w:rPr>
          <w:rFonts w:hint="eastAsia" w:ascii="Times New Roman" w:hAnsi="Times New Roman" w:eastAsia="仿宋_GB2312"/>
          <w:color w:val="auto"/>
          <w:sz w:val="28"/>
          <w:szCs w:val="28"/>
          <w:lang w:val="en-US" w:eastAsia="zh-CN"/>
        </w:rPr>
        <w:t>O</w:t>
      </w:r>
      <w:r>
        <w:rPr>
          <w:rFonts w:hint="eastAsia" w:ascii="仿宋_GB2312" w:eastAsia="仿宋_GB2312"/>
          <w:color w:val="000000"/>
          <w:sz w:val="28"/>
          <w:szCs w:val="28"/>
        </w:rPr>
        <w:t>ption</w:t>
      </w:r>
      <w:r>
        <w:rPr>
          <w:rFonts w:hint="eastAsia" w:ascii="Times New Roman" w:hAnsi="Times New Roman" w:eastAsia="仿宋_GB2312"/>
          <w:color w:val="auto"/>
          <w:sz w:val="28"/>
          <w:szCs w:val="28"/>
          <w:lang w:val="en-US" w:eastAsia="zh-CN"/>
        </w:rPr>
        <w:t>D</w:t>
      </w:r>
      <w:r>
        <w:rPr>
          <w:rFonts w:hint="eastAsia" w:ascii="仿宋_GB2312" w:eastAsia="仿宋_GB2312"/>
          <w:color w:val="000000"/>
          <w:sz w:val="28"/>
          <w:szCs w:val="28"/>
        </w:rPr>
        <w:t>aily）。</w:t>
      </w:r>
    </w:p>
    <w:p w14:paraId="1FE2B300">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2.</w:t>
      </w:r>
      <w:r>
        <w:rPr>
          <w:rFonts w:hint="eastAsia" w:ascii="仿宋_GB2312" w:eastAsia="仿宋_GB2312"/>
          <w:color w:val="000000"/>
          <w:sz w:val="28"/>
          <w:szCs w:val="28"/>
        </w:rPr>
        <w:t>分支机构在总部统一部署下开展股票期权投资者教育工作，也可根据自身实际情况，适时开展投资者教育工作，形式包括集中授课、分发股票期权业务投资者教育资料、设立股票期权业务投资者教育园地专栏、组织客户参加股票期权模拟交易等。</w:t>
      </w:r>
    </w:p>
    <w:p w14:paraId="5C71E566">
      <w:pPr>
        <w:ind w:firstLine="560" w:firstLineChars="200"/>
        <w:rPr>
          <w:rFonts w:ascii="仿宋_GB2312" w:eastAsia="仿宋_GB2312"/>
          <w:color w:val="000000"/>
          <w:sz w:val="28"/>
          <w:szCs w:val="28"/>
        </w:rPr>
      </w:pPr>
      <w:r>
        <w:rPr>
          <w:rFonts w:hint="eastAsia" w:ascii="仿宋_GB2312" w:eastAsia="仿宋_GB2312"/>
          <w:color w:val="000000"/>
          <w:sz w:val="28"/>
          <w:szCs w:val="28"/>
        </w:rPr>
        <w:t>开展</w:t>
      </w:r>
      <w:r>
        <w:rPr>
          <w:rFonts w:ascii="Times New Roman" w:hAnsi="Times New Roman" w:eastAsia="仿宋_GB2312"/>
          <w:sz w:val="28"/>
          <w:szCs w:val="28"/>
        </w:rPr>
        <w:t>股票</w:t>
      </w:r>
      <w:r>
        <w:rPr>
          <w:rFonts w:hint="eastAsia" w:ascii="仿宋_GB2312" w:eastAsia="仿宋_GB2312"/>
          <w:color w:val="000000"/>
          <w:sz w:val="28"/>
          <w:szCs w:val="28"/>
        </w:rPr>
        <w:t>期权业务的分支机构应当设置股票期权业务宣传专栏，内容可以包括：股票期权风险揭示书、股票期权业务法律及行政法规知识介绍、证券现货基础知识、股票期权业务基础知识、股票期权风险收益特点、股票期权交易流程、股票期权知识测试流程及安排等。</w:t>
      </w:r>
    </w:p>
    <w:p w14:paraId="2C5AED09">
      <w:pPr>
        <w:ind w:firstLine="560" w:firstLineChars="200"/>
        <w:rPr>
          <w:rFonts w:ascii="仿宋_GB2312" w:eastAsia="仿宋_GB2312"/>
          <w:color w:val="000000"/>
          <w:sz w:val="28"/>
          <w:szCs w:val="28"/>
        </w:rPr>
      </w:pPr>
      <w:r>
        <w:rPr>
          <w:rFonts w:hint="eastAsia" w:ascii="仿宋_GB2312" w:eastAsia="仿宋_GB2312"/>
          <w:color w:val="000000"/>
          <w:sz w:val="28"/>
          <w:szCs w:val="28"/>
        </w:rPr>
        <w:t>分支机构应当向申请开展股票期权业务的客户讲解股票期权业务规则、合同主要条款并提示交易风险，向客户告知股票期权标的证券名单、开仓保证金比例、维持保证金比例、股票期权交易合约收费标准等。</w:t>
      </w:r>
    </w:p>
    <w:p w14:paraId="22F53334">
      <w:pPr>
        <w:ind w:firstLine="560"/>
        <w:rPr>
          <w:rFonts w:hint="eastAsia" w:ascii="Times New Roman" w:hAnsi="Times New Roman" w:eastAsia="黑体"/>
          <w:sz w:val="28"/>
          <w:szCs w:val="28"/>
        </w:rPr>
      </w:pPr>
      <w:bookmarkStart w:id="503" w:name="_Toc406438927"/>
      <w:bookmarkStart w:id="504" w:name="_Toc23947034"/>
      <w:bookmarkStart w:id="505" w:name="_Toc408749941"/>
      <w:bookmarkStart w:id="506" w:name="_Toc28227"/>
      <w:bookmarkStart w:id="507" w:name="_Toc21011"/>
      <w:bookmarkStart w:id="508" w:name="_Toc25563"/>
      <w:bookmarkStart w:id="509" w:name="_Toc127"/>
      <w:r>
        <w:rPr>
          <w:rFonts w:hint="eastAsia" w:ascii="Times New Roman" w:hAnsi="Times New Roman" w:eastAsia="黑体"/>
          <w:sz w:val="28"/>
          <w:szCs w:val="28"/>
        </w:rPr>
        <w:t>二、客户投诉处理</w:t>
      </w:r>
      <w:bookmarkEnd w:id="503"/>
      <w:bookmarkEnd w:id="504"/>
      <w:bookmarkEnd w:id="505"/>
      <w:bookmarkEnd w:id="506"/>
      <w:bookmarkEnd w:id="507"/>
      <w:bookmarkEnd w:id="508"/>
      <w:bookmarkEnd w:id="509"/>
    </w:p>
    <w:p w14:paraId="5498A98C">
      <w:pPr>
        <w:ind w:firstLine="560" w:firstLineChars="200"/>
        <w:rPr>
          <w:rFonts w:ascii="仿宋_GB2312" w:eastAsia="仿宋_GB2312"/>
          <w:color w:val="000000"/>
          <w:sz w:val="28"/>
          <w:szCs w:val="28"/>
        </w:rPr>
      </w:pPr>
      <w:r>
        <w:rPr>
          <w:rFonts w:hint="eastAsia" w:ascii="仿宋_GB2312" w:eastAsia="仿宋_GB2312"/>
          <w:color w:val="000000"/>
          <w:sz w:val="28"/>
          <w:szCs w:val="28"/>
        </w:rPr>
        <w:t>为保护投资者，及时消除或化解客户因股票期权业务而发生的矛盾纠纷，避免客户纠纷事态的扩大，保证公司股票期权业务有序开展，期货公司应当制定完善的客户投诉处理流程。</w:t>
      </w:r>
      <w:bookmarkStart w:id="510" w:name="_Toc311894709"/>
    </w:p>
    <w:p w14:paraId="055F8E15">
      <w:pPr>
        <w:ind w:firstLine="560" w:firstLineChars="200"/>
        <w:rPr>
          <w:rFonts w:ascii="Times New Roman" w:hAnsi="Times New Roman" w:eastAsia="楷体_GB2312"/>
          <w:b w:val="0"/>
          <w:color w:val="auto"/>
          <w:sz w:val="28"/>
          <w:szCs w:val="28"/>
        </w:rPr>
      </w:pPr>
      <w:bookmarkStart w:id="511" w:name="_Toc406438928"/>
      <w:r>
        <w:rPr>
          <w:rFonts w:hint="default" w:ascii="Times New Roman" w:hAnsi="Times New Roman" w:eastAsia="楷体_GB2312"/>
          <w:b w:val="0"/>
          <w:color w:val="auto"/>
          <w:sz w:val="28"/>
          <w:szCs w:val="28"/>
        </w:rPr>
        <w:t>（一）客户投诉的处理</w:t>
      </w:r>
      <w:bookmarkEnd w:id="510"/>
      <w:bookmarkEnd w:id="511"/>
    </w:p>
    <w:p w14:paraId="67C1EC70">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1.</w:t>
      </w:r>
      <w:r>
        <w:rPr>
          <w:rFonts w:hint="eastAsia" w:ascii="仿宋_GB2312" w:eastAsia="仿宋_GB2312"/>
          <w:color w:val="000000"/>
          <w:sz w:val="28"/>
          <w:szCs w:val="28"/>
        </w:rPr>
        <w:t>要认真做好股票期权业务客户投诉处理、来访接待和劝导工作，尽量化解矛盾，有效防范客户上访事件的发生；将投诉、信访问题解决在基层，防止事态扩大。</w:t>
      </w:r>
    </w:p>
    <w:p w14:paraId="590FCA84">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2.</w:t>
      </w:r>
      <w:r>
        <w:rPr>
          <w:rFonts w:hint="eastAsia" w:ascii="仿宋_GB2312" w:eastAsia="仿宋_GB2312"/>
          <w:color w:val="000000"/>
          <w:sz w:val="28"/>
          <w:szCs w:val="28"/>
        </w:rPr>
        <w:t>客户投诉由期货公司分支机构或电话服务中心受理，并按预先制定的流程处理。建议投诉受理可以采取首问负责制。</w:t>
      </w:r>
    </w:p>
    <w:p w14:paraId="30571729">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3.</w:t>
      </w:r>
      <w:r>
        <w:rPr>
          <w:rFonts w:hint="eastAsia" w:ascii="仿宋_GB2312" w:eastAsia="仿宋_GB2312"/>
          <w:color w:val="000000"/>
          <w:sz w:val="28"/>
          <w:szCs w:val="28"/>
        </w:rPr>
        <w:t>对于重大投诉或交易纠纷，分支机构或电话服务中心向公司总部报备。对于其中可能影响正常交易的业务纠纷，应当自该情形出现之日起2个工作日内向本所和证券监管部门报告。</w:t>
      </w:r>
    </w:p>
    <w:p w14:paraId="56D3E10B">
      <w:pPr>
        <w:ind w:firstLine="560" w:firstLineChars="200"/>
        <w:rPr>
          <w:rFonts w:ascii="Times New Roman" w:hAnsi="Times New Roman" w:eastAsia="楷体_GB2312"/>
          <w:b w:val="0"/>
          <w:color w:val="auto"/>
          <w:sz w:val="28"/>
          <w:szCs w:val="28"/>
        </w:rPr>
      </w:pPr>
      <w:bookmarkStart w:id="512" w:name="_Toc311894710"/>
      <w:bookmarkStart w:id="513" w:name="_Toc406438929"/>
      <w:r>
        <w:rPr>
          <w:rFonts w:hint="default" w:ascii="Times New Roman" w:hAnsi="Times New Roman" w:eastAsia="楷体_GB2312"/>
          <w:b w:val="0"/>
          <w:color w:val="auto"/>
          <w:sz w:val="28"/>
          <w:szCs w:val="28"/>
        </w:rPr>
        <w:t>（二）客户投诉途径和受理范围</w:t>
      </w:r>
      <w:bookmarkEnd w:id="512"/>
      <w:bookmarkEnd w:id="513"/>
    </w:p>
    <w:p w14:paraId="768D6EB2">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1.</w:t>
      </w:r>
      <w:r>
        <w:rPr>
          <w:rFonts w:hint="eastAsia" w:ascii="仿宋_GB2312" w:eastAsia="仿宋_GB2312"/>
          <w:color w:val="000000"/>
          <w:sz w:val="28"/>
          <w:szCs w:val="28"/>
        </w:rPr>
        <w:t>期货公司网站及分支机构在现场显著位置对外公示公司统一投诉受理渠道，包括投诉电话、投诉邮箱，投资者可现场或通过电话、邮件等形式向期货公司或分支机构投诉。</w:t>
      </w:r>
    </w:p>
    <w:p w14:paraId="4FA54E6C">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2.</w:t>
      </w:r>
      <w:r>
        <w:rPr>
          <w:rFonts w:hint="eastAsia" w:ascii="仿宋_GB2312" w:eastAsia="仿宋_GB2312"/>
          <w:color w:val="000000"/>
          <w:sz w:val="28"/>
          <w:szCs w:val="28"/>
        </w:rPr>
        <w:t>公司应当受理符合下列条件的股票期权业务客户投诉：</w:t>
      </w:r>
    </w:p>
    <w:p w14:paraId="25C3720C">
      <w:pPr>
        <w:ind w:firstLine="560" w:firstLineChars="200"/>
        <w:rPr>
          <w:rFonts w:ascii="仿宋_GB2312" w:eastAsia="仿宋_GB2312"/>
          <w:color w:val="000000"/>
          <w:sz w:val="28"/>
          <w:szCs w:val="28"/>
        </w:rPr>
      </w:pPr>
      <w:r>
        <w:rPr>
          <w:rFonts w:hint="eastAsia" w:ascii="仿宋_GB2312" w:eastAsia="仿宋_GB2312"/>
          <w:color w:val="000000"/>
          <w:sz w:val="28"/>
          <w:szCs w:val="28"/>
        </w:rPr>
        <w:t>（1）投诉人是与投诉事项有直接利害关系的当事人；</w:t>
      </w:r>
    </w:p>
    <w:p w14:paraId="02B01656">
      <w:pPr>
        <w:ind w:firstLine="560" w:firstLineChars="200"/>
        <w:rPr>
          <w:rFonts w:ascii="仿宋_GB2312" w:eastAsia="仿宋_GB2312"/>
          <w:color w:val="000000"/>
          <w:sz w:val="28"/>
          <w:szCs w:val="28"/>
        </w:rPr>
      </w:pPr>
      <w:r>
        <w:rPr>
          <w:rFonts w:hint="eastAsia" w:ascii="仿宋_GB2312" w:eastAsia="仿宋_GB2312"/>
          <w:color w:val="000000"/>
          <w:sz w:val="28"/>
          <w:szCs w:val="28"/>
        </w:rPr>
        <w:t>（2）有明确的被投诉人或被投诉部门；</w:t>
      </w:r>
    </w:p>
    <w:p w14:paraId="6B0C4AA1">
      <w:pPr>
        <w:ind w:firstLine="560" w:firstLineChars="200"/>
        <w:rPr>
          <w:rFonts w:ascii="仿宋_GB2312" w:eastAsia="仿宋_GB2312"/>
          <w:color w:val="000000"/>
          <w:sz w:val="28"/>
          <w:szCs w:val="28"/>
        </w:rPr>
      </w:pPr>
      <w:r>
        <w:rPr>
          <w:rFonts w:hint="eastAsia" w:ascii="仿宋_GB2312" w:eastAsia="仿宋_GB2312"/>
          <w:color w:val="000000"/>
          <w:sz w:val="28"/>
          <w:szCs w:val="28"/>
        </w:rPr>
        <w:t>（3）投诉事项明确具体且有事实依据；</w:t>
      </w:r>
    </w:p>
    <w:p w14:paraId="1B690546">
      <w:pPr>
        <w:ind w:firstLine="560" w:firstLineChars="200"/>
        <w:rPr>
          <w:rFonts w:ascii="仿宋_GB2312" w:eastAsia="仿宋_GB2312"/>
          <w:color w:val="000000"/>
          <w:sz w:val="28"/>
          <w:szCs w:val="28"/>
        </w:rPr>
      </w:pPr>
      <w:r>
        <w:rPr>
          <w:rFonts w:hint="eastAsia" w:ascii="仿宋_GB2312" w:eastAsia="仿宋_GB2312"/>
          <w:color w:val="000000"/>
          <w:sz w:val="28"/>
          <w:szCs w:val="28"/>
        </w:rPr>
        <w:t>（4）期货公司规定的其他条件。</w:t>
      </w:r>
    </w:p>
    <w:p w14:paraId="2A434A99">
      <w:pPr>
        <w:ind w:firstLine="560" w:firstLineChars="200"/>
        <w:rPr>
          <w:rFonts w:ascii="Times New Roman" w:hAnsi="Times New Roman" w:eastAsia="楷体_GB2312"/>
          <w:b w:val="0"/>
          <w:color w:val="auto"/>
          <w:sz w:val="28"/>
          <w:szCs w:val="28"/>
        </w:rPr>
      </w:pPr>
      <w:bookmarkStart w:id="514" w:name="_Toc406438930"/>
      <w:bookmarkStart w:id="515" w:name="_Toc311894713"/>
      <w:r>
        <w:rPr>
          <w:rFonts w:hint="default" w:ascii="Times New Roman" w:hAnsi="Times New Roman" w:eastAsia="楷体_GB2312"/>
          <w:b w:val="0"/>
          <w:color w:val="auto"/>
          <w:sz w:val="28"/>
          <w:szCs w:val="28"/>
        </w:rPr>
        <w:t>（三）投诉处理流程</w:t>
      </w:r>
      <w:bookmarkEnd w:id="514"/>
      <w:bookmarkEnd w:id="515"/>
    </w:p>
    <w:p w14:paraId="610BD906">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1.</w:t>
      </w:r>
      <w:r>
        <w:rPr>
          <w:rFonts w:hint="eastAsia" w:ascii="仿宋_GB2312" w:eastAsia="仿宋_GB2312"/>
          <w:color w:val="000000"/>
          <w:sz w:val="28"/>
          <w:szCs w:val="28"/>
        </w:rPr>
        <w:t>投诉受理</w:t>
      </w:r>
    </w:p>
    <w:p w14:paraId="064ED184">
      <w:pPr>
        <w:ind w:firstLine="560" w:firstLineChars="200"/>
        <w:rPr>
          <w:rFonts w:ascii="仿宋_GB2312" w:eastAsia="仿宋_GB2312"/>
          <w:color w:val="000000"/>
          <w:sz w:val="28"/>
          <w:szCs w:val="28"/>
        </w:rPr>
      </w:pPr>
      <w:r>
        <w:rPr>
          <w:rFonts w:hint="eastAsia" w:ascii="仿宋_GB2312" w:eastAsia="仿宋_GB2312"/>
          <w:color w:val="000000"/>
          <w:sz w:val="28"/>
          <w:szCs w:val="28"/>
        </w:rPr>
        <w:t>分支机构或电话服务中心的客服人员接到投诉后，详细记录客户的姓名、客户编号、联系方式、地址、客户投诉的内容和客户期望的处理结果等。</w:t>
      </w:r>
    </w:p>
    <w:p w14:paraId="75B73BB5">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2.</w:t>
      </w:r>
      <w:r>
        <w:rPr>
          <w:rFonts w:hint="eastAsia" w:ascii="仿宋_GB2312" w:eastAsia="仿宋_GB2312"/>
          <w:color w:val="000000"/>
          <w:sz w:val="28"/>
          <w:szCs w:val="28"/>
        </w:rPr>
        <w:t>投诉分析</w:t>
      </w:r>
    </w:p>
    <w:p w14:paraId="72EC8547">
      <w:pPr>
        <w:ind w:firstLine="560" w:firstLineChars="200"/>
        <w:rPr>
          <w:rFonts w:ascii="仿宋_GB2312" w:eastAsia="仿宋_GB2312"/>
          <w:color w:val="000000"/>
          <w:sz w:val="28"/>
          <w:szCs w:val="28"/>
        </w:rPr>
      </w:pPr>
      <w:r>
        <w:rPr>
          <w:rFonts w:hint="eastAsia" w:ascii="仿宋_GB2312" w:eastAsia="仿宋_GB2312"/>
          <w:color w:val="000000"/>
          <w:sz w:val="28"/>
          <w:szCs w:val="28"/>
        </w:rPr>
        <w:t>客户服务人员在受理后立即根据登记内容进行分析，判断投诉是否符合受理条件，并及时通知投诉责任部门或人员。</w:t>
      </w:r>
    </w:p>
    <w:p w14:paraId="3B4E854C">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3.</w:t>
      </w:r>
      <w:r>
        <w:rPr>
          <w:rFonts w:hint="eastAsia" w:ascii="仿宋_GB2312" w:eastAsia="仿宋_GB2312"/>
          <w:color w:val="000000"/>
          <w:sz w:val="28"/>
          <w:szCs w:val="28"/>
        </w:rPr>
        <w:t>投诉调查</w:t>
      </w:r>
    </w:p>
    <w:p w14:paraId="276A5CB1">
      <w:pPr>
        <w:ind w:firstLine="560" w:firstLineChars="200"/>
        <w:rPr>
          <w:rFonts w:ascii="仿宋_GB2312" w:eastAsia="仿宋_GB2312"/>
          <w:color w:val="000000"/>
          <w:sz w:val="28"/>
          <w:szCs w:val="28"/>
        </w:rPr>
      </w:pPr>
      <w:r>
        <w:rPr>
          <w:rFonts w:hint="eastAsia" w:ascii="仿宋_GB2312" w:eastAsia="仿宋_GB2312"/>
          <w:color w:val="000000"/>
          <w:sz w:val="28"/>
          <w:szCs w:val="28"/>
        </w:rPr>
        <w:t>责任部门在收到投诉当日，及时对投诉的事实、投诉的原因、主要责任人等内容进行调查，明确导致投诉问题发生的事件、责任人，确认投诉产生的主客观原因。</w:t>
      </w:r>
    </w:p>
    <w:p w14:paraId="1A1A254A">
      <w:pPr>
        <w:ind w:firstLine="560" w:firstLineChars="200"/>
        <w:rPr>
          <w:rFonts w:ascii="仿宋_GB2312" w:eastAsia="仿宋_GB2312"/>
          <w:color w:val="000000"/>
          <w:sz w:val="28"/>
          <w:szCs w:val="28"/>
        </w:rPr>
      </w:pPr>
      <w:r>
        <w:rPr>
          <w:rFonts w:hint="default" w:ascii="Times New Roman" w:hAnsi="Times New Roman" w:eastAsia="仿宋_GB2312"/>
          <w:color w:val="auto"/>
          <w:sz w:val="28"/>
          <w:szCs w:val="28"/>
        </w:rPr>
        <w:t>4.</w:t>
      </w:r>
      <w:r>
        <w:rPr>
          <w:rFonts w:hint="eastAsia" w:ascii="仿宋_GB2312" w:eastAsia="仿宋_GB2312"/>
          <w:color w:val="000000"/>
          <w:sz w:val="28"/>
          <w:szCs w:val="28"/>
        </w:rPr>
        <w:t>投诉处理</w:t>
      </w:r>
    </w:p>
    <w:p w14:paraId="2F19E388">
      <w:pPr>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责任部门负责根据调查的实际情况，参照客户的投诉要求，提出解决投诉的具体方案，如沟通解释、道歉、纠错、赔偿等。 </w:t>
      </w:r>
    </w:p>
    <w:p w14:paraId="4C9C1DCD">
      <w:pPr>
        <w:ind w:firstLine="560" w:firstLineChars="200"/>
        <w:rPr>
          <w:rFonts w:ascii="仿宋_GB2312" w:eastAsia="仿宋_GB2312"/>
          <w:color w:val="000000"/>
          <w:sz w:val="28"/>
          <w:szCs w:val="28"/>
        </w:rPr>
      </w:pPr>
      <w:r>
        <w:rPr>
          <w:rFonts w:hint="eastAsia" w:ascii="仿宋_GB2312" w:eastAsia="仿宋_GB2312"/>
          <w:color w:val="000000"/>
          <w:sz w:val="28"/>
          <w:szCs w:val="28"/>
        </w:rPr>
        <w:t>分支机构在客户投诉处理完毕后，由首次受理客户投诉的人员通过电话录音、书面留痕等方式向客户确认处理结果。</w:t>
      </w:r>
    </w:p>
    <w:p w14:paraId="732E8500">
      <w:pPr>
        <w:ind w:firstLine="560" w:firstLineChars="200"/>
        <w:rPr>
          <w:rFonts w:ascii="Times New Roman" w:hAnsi="Times New Roman" w:eastAsia="楷体_GB2312"/>
          <w:b w:val="0"/>
          <w:color w:val="auto"/>
          <w:sz w:val="28"/>
          <w:szCs w:val="28"/>
        </w:rPr>
      </w:pPr>
      <w:bookmarkStart w:id="516" w:name="_Toc406438931"/>
      <w:bookmarkStart w:id="517" w:name="_Toc311894715"/>
      <w:r>
        <w:rPr>
          <w:rFonts w:hint="default" w:ascii="Times New Roman" w:hAnsi="Times New Roman" w:eastAsia="楷体_GB2312"/>
          <w:b w:val="0"/>
          <w:color w:val="auto"/>
          <w:sz w:val="28"/>
          <w:szCs w:val="28"/>
        </w:rPr>
        <w:t>（四）客户投诉档案的管理</w:t>
      </w:r>
      <w:bookmarkEnd w:id="516"/>
      <w:bookmarkEnd w:id="517"/>
      <w:r>
        <w:rPr>
          <w:rFonts w:hint="default" w:ascii="Times New Roman" w:hAnsi="Times New Roman" w:eastAsia="楷体_GB2312"/>
          <w:b w:val="0"/>
          <w:color w:val="auto"/>
          <w:sz w:val="28"/>
          <w:szCs w:val="28"/>
        </w:rPr>
        <w:t xml:space="preserve"> </w:t>
      </w:r>
    </w:p>
    <w:p w14:paraId="0AB41ED2">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期货公司应当完整记录客户投诉受理、调查和处理的过程，并形成书面、录音和电子档案，其保存期限为20年。</w:t>
      </w:r>
      <w:bookmarkStart w:id="518" w:name="_Toc403729890"/>
      <w:bookmarkStart w:id="519" w:name="_Toc403729891"/>
    </w:p>
    <w:p w14:paraId="61A99DF0">
      <w:pPr>
        <w:ind w:firstLine="560" w:firstLineChars="200"/>
        <w:rPr>
          <w:rFonts w:hint="eastAsia" w:ascii="仿宋_GB2312" w:eastAsia="仿宋_GB2312"/>
          <w:color w:val="000000"/>
          <w:sz w:val="28"/>
          <w:szCs w:val="28"/>
        </w:rPr>
      </w:pPr>
    </w:p>
    <w:p w14:paraId="7E0DAEB0">
      <w:pPr>
        <w:ind w:firstLine="560" w:firstLineChars="200"/>
        <w:rPr>
          <w:rFonts w:hint="eastAsia" w:ascii="仿宋_GB2312" w:eastAsia="仿宋_GB2312"/>
          <w:color w:val="000000"/>
          <w:sz w:val="28"/>
          <w:szCs w:val="28"/>
        </w:rPr>
      </w:pPr>
    </w:p>
    <w:p w14:paraId="40367BE7">
      <w:pPr>
        <w:ind w:firstLine="560" w:firstLineChars="200"/>
        <w:rPr>
          <w:rFonts w:hint="eastAsia" w:ascii="仿宋_GB2312" w:eastAsia="仿宋_GB2312"/>
          <w:color w:val="000000"/>
          <w:sz w:val="28"/>
          <w:szCs w:val="28"/>
        </w:rPr>
      </w:pPr>
    </w:p>
    <w:p w14:paraId="1C2784F4">
      <w:pPr>
        <w:ind w:firstLine="560" w:firstLineChars="200"/>
        <w:rPr>
          <w:rFonts w:hint="eastAsia" w:ascii="仿宋_GB2312" w:eastAsia="仿宋_GB2312"/>
          <w:color w:val="000000"/>
          <w:sz w:val="28"/>
          <w:szCs w:val="28"/>
        </w:rPr>
      </w:pPr>
    </w:p>
    <w:p w14:paraId="32DF2AE6">
      <w:pPr>
        <w:ind w:firstLine="560" w:firstLineChars="200"/>
        <w:rPr>
          <w:rFonts w:hint="eastAsia" w:ascii="仿宋_GB2312" w:eastAsia="仿宋_GB2312"/>
          <w:color w:val="000000"/>
          <w:sz w:val="28"/>
          <w:szCs w:val="28"/>
        </w:rPr>
      </w:pPr>
    </w:p>
    <w:bookmarkEnd w:id="518"/>
    <w:bookmarkEnd w:id="519"/>
    <w:p w14:paraId="00224E8D">
      <w:pPr>
        <w:jc w:val="center"/>
        <w:outlineLvl w:val="0"/>
        <w:rPr>
          <w:rFonts w:ascii="Times New Roman" w:hAnsi="Times New Roman" w:eastAsia="黑体"/>
          <w:b/>
          <w:bCs/>
          <w:sz w:val="30"/>
          <w:szCs w:val="24"/>
        </w:rPr>
      </w:pPr>
    </w:p>
    <w:p w14:paraId="53788761">
      <w:pPr>
        <w:jc w:val="center"/>
        <w:outlineLvl w:val="0"/>
        <w:rPr>
          <w:rFonts w:ascii="Times New Roman" w:hAnsi="Times New Roman" w:eastAsia="黑体"/>
          <w:b/>
          <w:bCs/>
          <w:sz w:val="30"/>
          <w:szCs w:val="24"/>
        </w:rPr>
      </w:pPr>
    </w:p>
    <w:p w14:paraId="2530391F">
      <w:pPr>
        <w:jc w:val="center"/>
        <w:outlineLvl w:val="0"/>
        <w:rPr>
          <w:rFonts w:ascii="Times New Roman" w:hAnsi="Times New Roman" w:eastAsia="黑体"/>
          <w:b/>
          <w:bCs/>
          <w:sz w:val="30"/>
          <w:szCs w:val="24"/>
        </w:rPr>
      </w:pPr>
    </w:p>
    <w:p w14:paraId="4E527F64">
      <w:pPr>
        <w:pStyle w:val="5"/>
        <w:widowControl/>
        <w:ind w:firstLine="0" w:firstLineChars="0"/>
        <w:jc w:val="center"/>
        <w:rPr>
          <w:rFonts w:ascii="Cambria" w:hAnsi="Cambria" w:eastAsia="仿宋_GB2312"/>
          <w:bCs/>
          <w:color w:val="000000"/>
          <w:sz w:val="28"/>
          <w:szCs w:val="32"/>
        </w:rPr>
      </w:pPr>
      <w:bookmarkStart w:id="520" w:name="_Toc17286"/>
      <w:bookmarkStart w:id="521" w:name="_Toc14471"/>
      <w:bookmarkStart w:id="522" w:name="_Toc408301006"/>
      <w:bookmarkStart w:id="523" w:name="_Toc408749942"/>
      <w:bookmarkStart w:id="524" w:name="_Toc23947035"/>
      <w:bookmarkStart w:id="525" w:name="_Toc14404"/>
      <w:bookmarkStart w:id="526" w:name="_Toc23693"/>
      <w:r>
        <w:rPr>
          <w:rFonts w:hint="eastAsia" w:ascii="黑体" w:hAnsi="黑体" w:eastAsia="黑体"/>
          <w:sz w:val="32"/>
        </w:rPr>
        <w:t>第十九章 股票期权介绍业务</w:t>
      </w:r>
      <w:bookmarkEnd w:id="520"/>
      <w:bookmarkEnd w:id="521"/>
      <w:bookmarkEnd w:id="522"/>
      <w:bookmarkEnd w:id="523"/>
      <w:bookmarkEnd w:id="524"/>
      <w:bookmarkEnd w:id="525"/>
      <w:bookmarkEnd w:id="526"/>
    </w:p>
    <w:p w14:paraId="0B743067">
      <w:pPr>
        <w:widowControl/>
        <w:ind w:firstLine="560" w:firstLineChars="200"/>
        <w:jc w:val="left"/>
        <w:rPr>
          <w:rFonts w:ascii="Cambria" w:hAnsi="Cambria" w:eastAsia="仿宋_GB2312"/>
          <w:bCs/>
          <w:color w:val="000000"/>
          <w:sz w:val="28"/>
          <w:szCs w:val="32"/>
        </w:rPr>
      </w:pPr>
      <w:r>
        <w:rPr>
          <w:rFonts w:hint="eastAsia" w:ascii="Cambria" w:hAnsi="Cambria" w:eastAsia="仿宋_GB2312"/>
          <w:bCs/>
          <w:color w:val="000000"/>
          <w:sz w:val="28"/>
          <w:szCs w:val="32"/>
        </w:rPr>
        <w:t>期货公司可以接受一家或者多家证券公司或期货公司的委托，为其介绍客户参与股票期权交易，并提供其他相关服务。</w:t>
      </w:r>
    </w:p>
    <w:p w14:paraId="401D79E3">
      <w:pPr>
        <w:ind w:firstLine="560"/>
        <w:rPr>
          <w:rFonts w:hint="eastAsia" w:ascii="Times New Roman" w:hAnsi="Times New Roman" w:eastAsia="黑体"/>
          <w:sz w:val="28"/>
          <w:szCs w:val="28"/>
        </w:rPr>
      </w:pPr>
      <w:bookmarkStart w:id="527" w:name="_Toc13788"/>
      <w:bookmarkStart w:id="528" w:name="_Toc408743800"/>
      <w:bookmarkStart w:id="529" w:name="_Toc22090"/>
      <w:bookmarkStart w:id="530" w:name="_Toc408749943"/>
      <w:bookmarkStart w:id="531" w:name="_Toc31203"/>
      <w:bookmarkStart w:id="532" w:name="_Toc31418"/>
      <w:bookmarkStart w:id="533" w:name="_Toc23947036"/>
      <w:r>
        <w:rPr>
          <w:rFonts w:hint="eastAsia" w:ascii="Times New Roman" w:hAnsi="Times New Roman" w:eastAsia="黑体"/>
          <w:sz w:val="28"/>
          <w:szCs w:val="28"/>
        </w:rPr>
        <w:t>一、基本要求</w:t>
      </w:r>
      <w:bookmarkEnd w:id="527"/>
      <w:bookmarkEnd w:id="528"/>
      <w:bookmarkEnd w:id="529"/>
      <w:bookmarkEnd w:id="530"/>
      <w:bookmarkEnd w:id="531"/>
      <w:bookmarkEnd w:id="532"/>
      <w:bookmarkEnd w:id="533"/>
    </w:p>
    <w:p w14:paraId="2BE8FCC8">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（一）完成向公司住所地中国证监会派出机构备案；</w:t>
      </w:r>
    </w:p>
    <w:p w14:paraId="78E54CFD">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（二）配备必要的业务人员，公司总部至少有5名、拟开展介绍业务的营业部至少有2名具有证券从业人员资格的业务人员；</w:t>
      </w:r>
    </w:p>
    <w:p w14:paraId="143008C5">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（三）已按规定建立健全与介绍业务相关的业务规则、内部控制、风险隔离及合规检查等制度；</w:t>
      </w:r>
    </w:p>
    <w:p w14:paraId="63A50AAE">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（四）期货公司与证券公司或其他期货公司签订的书面介绍业务协议内容完整。</w:t>
      </w:r>
    </w:p>
    <w:p w14:paraId="65C671B0">
      <w:pPr>
        <w:ind w:firstLine="560"/>
        <w:rPr>
          <w:rFonts w:hint="eastAsia" w:ascii="Times New Roman" w:hAnsi="Times New Roman" w:eastAsia="黑体"/>
          <w:sz w:val="28"/>
          <w:szCs w:val="28"/>
        </w:rPr>
      </w:pPr>
      <w:bookmarkStart w:id="534" w:name="_Toc23947037"/>
      <w:bookmarkStart w:id="535" w:name="_Toc17223"/>
      <w:bookmarkStart w:id="536" w:name="_Toc12737"/>
      <w:bookmarkStart w:id="537" w:name="_Toc12578"/>
      <w:bookmarkStart w:id="538" w:name="_Toc408749944"/>
      <w:bookmarkStart w:id="539" w:name="_Toc408743801"/>
      <w:bookmarkStart w:id="540" w:name="_Toc1574"/>
      <w:r>
        <w:rPr>
          <w:rFonts w:hint="eastAsia" w:ascii="Times New Roman" w:hAnsi="Times New Roman" w:eastAsia="黑体"/>
          <w:sz w:val="28"/>
          <w:szCs w:val="28"/>
        </w:rPr>
        <w:t>二、介绍业务协议</w:t>
      </w:r>
      <w:bookmarkEnd w:id="534"/>
      <w:bookmarkEnd w:id="535"/>
      <w:bookmarkEnd w:id="536"/>
      <w:bookmarkEnd w:id="537"/>
      <w:bookmarkEnd w:id="538"/>
      <w:bookmarkEnd w:id="539"/>
      <w:bookmarkEnd w:id="540"/>
    </w:p>
    <w:p w14:paraId="20F57E05">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期货公司从事中间介绍业务，应当签订书面介绍业务协议，期货公司与证券公司或其他期货公司签订的书面介绍业务协议内容应当至少包括以下事项：</w:t>
      </w:r>
    </w:p>
    <w:p w14:paraId="07358137">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（一）介绍业务的范围和内容；</w:t>
      </w:r>
    </w:p>
    <w:p w14:paraId="106302DF">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（二）是否提供协助办理期权开户等服务；</w:t>
      </w:r>
    </w:p>
    <w:p w14:paraId="19A843AC">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（三）介绍业务如何对接和管理；</w:t>
      </w:r>
    </w:p>
    <w:p w14:paraId="7F32459B">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（四）客户投诉的接待处理方式；</w:t>
      </w:r>
    </w:p>
    <w:p w14:paraId="59469191">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（五）报酬支付及相关费用的分担方式；</w:t>
      </w:r>
    </w:p>
    <w:p w14:paraId="708A7EF7">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（六）介绍业务的责任界定和追究机制。</w:t>
      </w:r>
    </w:p>
    <w:p w14:paraId="0703E8F5">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期货公司按照介绍业务协议对证券公司或其他期货公司承担相应的受托责任。</w:t>
      </w:r>
    </w:p>
    <w:p w14:paraId="7D7138ED">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双方可以在委托协议中约定前款规定以外的其他事项，但不得损害客户的合法权益。</w:t>
      </w:r>
    </w:p>
    <w:p w14:paraId="2AC44B97">
      <w:pPr>
        <w:widowControl/>
        <w:ind w:firstLine="560" w:firstLineChars="200"/>
        <w:jc w:val="left"/>
        <w:rPr>
          <w:rFonts w:hint="eastAsia" w:ascii="仿宋_GB2312" w:hAnsi="Calibri" w:eastAsia="仿宋_GB2312"/>
          <w:bCs w:val="0"/>
          <w:color w:val="000000"/>
          <w:sz w:val="28"/>
          <w:szCs w:val="28"/>
        </w:rPr>
      </w:pPr>
      <w:r>
        <w:rPr>
          <w:rFonts w:hint="eastAsia" w:ascii="仿宋_GB2312" w:hAnsi="Calibri" w:eastAsia="仿宋_GB2312"/>
          <w:bCs w:val="0"/>
          <w:color w:val="000000"/>
          <w:sz w:val="28"/>
          <w:szCs w:val="28"/>
        </w:rPr>
        <w:t>期货公司按照委托协议对证券公司或其他期货公司承担介绍业务受托责任。基于期权业务经纪合同的责任由证券公司或其他期货公司直接对客户承担。</w:t>
      </w:r>
    </w:p>
    <w:p w14:paraId="1D485AEA">
      <w:pPr>
        <w:ind w:firstLine="560"/>
        <w:rPr>
          <w:rFonts w:hint="eastAsia" w:ascii="Times New Roman" w:hAnsi="Times New Roman" w:eastAsia="黑体"/>
          <w:sz w:val="28"/>
          <w:szCs w:val="28"/>
        </w:rPr>
      </w:pPr>
      <w:bookmarkStart w:id="541" w:name="_Toc408749945"/>
      <w:bookmarkStart w:id="542" w:name="_Toc408743802"/>
      <w:bookmarkStart w:id="543" w:name="_Toc13092"/>
      <w:bookmarkStart w:id="544" w:name="_Toc23947038"/>
      <w:bookmarkStart w:id="545" w:name="_Toc25717"/>
      <w:bookmarkStart w:id="546" w:name="_Toc12789"/>
      <w:bookmarkStart w:id="547" w:name="_Toc9451"/>
      <w:r>
        <w:rPr>
          <w:rFonts w:hint="eastAsia" w:ascii="Times New Roman" w:hAnsi="Times New Roman" w:eastAsia="黑体"/>
          <w:sz w:val="28"/>
          <w:szCs w:val="28"/>
        </w:rPr>
        <w:t>三、介绍业务规则</w:t>
      </w:r>
      <w:bookmarkEnd w:id="541"/>
      <w:bookmarkEnd w:id="542"/>
      <w:bookmarkEnd w:id="543"/>
      <w:bookmarkEnd w:id="544"/>
      <w:bookmarkEnd w:id="545"/>
      <w:bookmarkEnd w:id="546"/>
      <w:bookmarkEnd w:id="547"/>
    </w:p>
    <w:p w14:paraId="39E2D35B">
      <w:pPr>
        <w:widowControl/>
        <w:ind w:firstLine="560" w:firstLineChars="200"/>
        <w:jc w:val="left"/>
        <w:rPr>
          <w:rFonts w:ascii="Cambria" w:hAnsi="Cambria" w:eastAsia="仿宋_GB2312"/>
          <w:bCs/>
          <w:color w:val="000000"/>
          <w:sz w:val="28"/>
          <w:szCs w:val="32"/>
        </w:rPr>
      </w:pPr>
      <w:r>
        <w:rPr>
          <w:rFonts w:hint="eastAsia" w:ascii="Cambria" w:hAnsi="Cambria" w:eastAsia="仿宋_GB2312"/>
          <w:bCs/>
          <w:color w:val="000000"/>
          <w:sz w:val="28"/>
          <w:szCs w:val="32"/>
        </w:rPr>
        <w:t>期货公司不得代理客户进行股票期权的交易、结算，不得代客户接收、保管或者修改交易密码，也不得利用客户的衍生品合约账户、股票期权保证金账户进行股票期权交易。不得代乙方、客户收付股票期权保证金。不得直接或者间接为客户从事股票期权交易提供融资或担保。</w:t>
      </w:r>
    </w:p>
    <w:p w14:paraId="1C927B3B">
      <w:pPr>
        <w:widowControl/>
        <w:ind w:firstLine="560" w:firstLineChars="200"/>
        <w:jc w:val="left"/>
        <w:rPr>
          <w:rFonts w:ascii="Cambria" w:hAnsi="Cambria" w:eastAsia="仿宋_GB2312"/>
          <w:bCs/>
          <w:color w:val="000000"/>
          <w:sz w:val="28"/>
          <w:szCs w:val="32"/>
        </w:rPr>
      </w:pPr>
      <w:r>
        <w:rPr>
          <w:rFonts w:hint="eastAsia" w:ascii="Cambria" w:hAnsi="Cambria" w:eastAsia="仿宋_GB2312"/>
          <w:bCs/>
          <w:color w:val="000000"/>
          <w:sz w:val="28"/>
          <w:szCs w:val="32"/>
        </w:rPr>
        <w:t>期货公司具有相应的人员、经营场所、设备和信息系统，能够为进行介绍业务提供必要的条件。</w:t>
      </w:r>
    </w:p>
    <w:p w14:paraId="565E6118">
      <w:pPr>
        <w:widowControl/>
        <w:ind w:firstLine="560" w:firstLineChars="200"/>
        <w:jc w:val="left"/>
        <w:rPr>
          <w:rFonts w:ascii="Cambria" w:hAnsi="Cambria" w:eastAsia="仿宋_GB2312"/>
          <w:bCs/>
          <w:color w:val="000000"/>
          <w:sz w:val="28"/>
          <w:szCs w:val="32"/>
        </w:rPr>
      </w:pPr>
      <w:r>
        <w:rPr>
          <w:rFonts w:hint="eastAsia" w:ascii="Cambria" w:hAnsi="Cambria" w:eastAsia="仿宋_GB2312"/>
          <w:bCs/>
          <w:color w:val="000000"/>
          <w:sz w:val="28"/>
          <w:szCs w:val="32"/>
        </w:rPr>
        <w:t>期货公司为证券公司或其他期货公司介绍客户时，应当向客户明示其与相关证券公司或期货公司的介绍业务委托关系。</w:t>
      </w:r>
    </w:p>
    <w:p w14:paraId="13D21079">
      <w:pPr>
        <w:widowControl/>
        <w:ind w:firstLine="560" w:firstLineChars="200"/>
        <w:jc w:val="left"/>
        <w:rPr>
          <w:rFonts w:ascii="Cambria" w:hAnsi="Cambria" w:eastAsia="仿宋_GB2312"/>
          <w:bCs/>
          <w:color w:val="000000"/>
          <w:sz w:val="28"/>
          <w:szCs w:val="32"/>
        </w:rPr>
      </w:pPr>
      <w:r>
        <w:rPr>
          <w:rFonts w:hint="eastAsia" w:ascii="Cambria" w:hAnsi="Cambria" w:eastAsia="仿宋_GB2312"/>
          <w:bCs/>
          <w:color w:val="000000"/>
          <w:sz w:val="28"/>
          <w:szCs w:val="32"/>
        </w:rPr>
        <w:t>期货公司应当按照合规、审慎经营的原则，制定并有效执行介绍业务规则、内部控制、合规检查等制度，确保有效防范和隔离介绍业务与其他业务的风险。</w:t>
      </w:r>
    </w:p>
    <w:p w14:paraId="7F45AF3A">
      <w:pPr>
        <w:widowControl/>
        <w:ind w:firstLine="560" w:firstLineChars="200"/>
        <w:jc w:val="left"/>
        <w:rPr>
          <w:rFonts w:ascii="Cambria" w:hAnsi="Cambria" w:eastAsia="仿宋_GB2312"/>
          <w:bCs/>
          <w:color w:val="000000"/>
          <w:sz w:val="28"/>
          <w:szCs w:val="32"/>
          <w:shd w:val="pct10" w:color="auto" w:fill="FFFFFF"/>
        </w:rPr>
      </w:pPr>
      <w:r>
        <w:rPr>
          <w:rFonts w:hint="eastAsia" w:ascii="Cambria" w:hAnsi="Cambria" w:eastAsia="仿宋_GB2312"/>
          <w:bCs/>
          <w:color w:val="000000"/>
          <w:sz w:val="28"/>
          <w:szCs w:val="32"/>
        </w:rPr>
        <w:t>期货公司在开发客户过程中，应当向客户解释股票期权交易的方式、流程，充分揭示股票期权交易风险，并不得向客户作获利保证、共担风险等承诺，不得虚假宣传误导客户。</w:t>
      </w:r>
    </w:p>
    <w:p w14:paraId="0FC213CC">
      <w:pPr>
        <w:widowControl/>
        <w:ind w:firstLine="560" w:firstLineChars="200"/>
        <w:jc w:val="left"/>
        <w:rPr>
          <w:rFonts w:ascii="Cambria" w:hAnsi="Cambria" w:eastAsia="仿宋_GB2312"/>
          <w:bCs/>
          <w:color w:val="000000"/>
          <w:sz w:val="28"/>
          <w:szCs w:val="32"/>
        </w:rPr>
      </w:pPr>
      <w:r>
        <w:rPr>
          <w:rFonts w:hint="eastAsia" w:ascii="Cambria" w:hAnsi="Cambria" w:eastAsia="仿宋_GB2312"/>
          <w:bCs/>
          <w:color w:val="000000"/>
          <w:sz w:val="28"/>
          <w:szCs w:val="32"/>
        </w:rPr>
        <w:t>期货公司应当建立并有效执行协助开户制度，对客户的开户资料和身份真实性等进行审查，向客户充分揭示期权交易风险，解释期货公司、客户、证券公司或其他期货公司三者之间的权利义务关系。介绍业务双方对客户的股票期权投资者适当性管理承担同等责任和义务。</w:t>
      </w:r>
    </w:p>
    <w:p w14:paraId="1906BA08">
      <w:pPr>
        <w:widowControl/>
        <w:ind w:firstLine="560" w:firstLineChars="200"/>
        <w:jc w:val="left"/>
        <w:rPr>
          <w:rFonts w:ascii="Cambria" w:hAnsi="Cambria" w:eastAsia="仿宋_GB2312"/>
          <w:b/>
          <w:bCs/>
          <w:color w:val="000000"/>
          <w:sz w:val="28"/>
          <w:szCs w:val="32"/>
        </w:rPr>
      </w:pPr>
      <w:r>
        <w:rPr>
          <w:rFonts w:hint="eastAsia" w:ascii="Cambria" w:hAnsi="Cambria" w:eastAsia="仿宋_GB2312"/>
          <w:bCs/>
          <w:color w:val="000000"/>
          <w:sz w:val="28"/>
          <w:szCs w:val="32"/>
        </w:rPr>
        <w:t>期货公司应当在营业场所妥善保存有关介绍业务的凭证、单据、合同等资料。期货公司保存上述文件资料的期限不得少于5年。</w:t>
      </w:r>
    </w:p>
    <w:p w14:paraId="0AE5C556">
      <w:pPr>
        <w:widowControl/>
        <w:ind w:firstLine="561" w:firstLineChars="200"/>
        <w:jc w:val="left"/>
        <w:rPr>
          <w:rFonts w:ascii="Cambria" w:hAnsi="Cambria" w:eastAsia="仿宋_GB2312"/>
          <w:b/>
          <w:bCs/>
          <w:color w:val="000000"/>
          <w:sz w:val="28"/>
          <w:szCs w:val="32"/>
        </w:rPr>
      </w:pPr>
    </w:p>
    <w:p w14:paraId="0F8518ED">
      <w:pPr>
        <w:pStyle w:val="5"/>
        <w:ind w:firstLine="562"/>
        <w:rPr>
          <w:color w:val="000000"/>
        </w:rPr>
      </w:pPr>
      <w:bookmarkStart w:id="548" w:name="_Toc406438956"/>
      <w:bookmarkStart w:id="549" w:name="_Toc406439141"/>
      <w:bookmarkStart w:id="550" w:name="_Toc406436507"/>
      <w:bookmarkStart w:id="551" w:name="_Toc406438932"/>
      <w:r>
        <w:rPr>
          <w:color w:val="000000"/>
        </w:rPr>
        <w:br w:type="page"/>
      </w:r>
      <w:bookmarkStart w:id="552" w:name="_Toc408749946"/>
      <w:bookmarkStart w:id="553" w:name="_Toc406438945"/>
      <w:bookmarkStart w:id="554" w:name="_Toc408301007"/>
      <w:bookmarkStart w:id="555" w:name="_Toc6435"/>
      <w:bookmarkStart w:id="556" w:name="_Toc406439152"/>
      <w:bookmarkStart w:id="557" w:name="_Toc406436519"/>
      <w:bookmarkStart w:id="558" w:name="_Toc23947039"/>
      <w:bookmarkStart w:id="559" w:name="_Toc22411"/>
      <w:bookmarkStart w:id="560" w:name="_Toc29620"/>
      <w:bookmarkStart w:id="561" w:name="_Toc20913"/>
      <w:bookmarkStart w:id="562" w:name="_Toc406438989"/>
      <w:bookmarkStart w:id="563" w:name="_Toc406438967"/>
    </w:p>
    <w:p w14:paraId="108F174D">
      <w:pPr>
        <w:pStyle w:val="4"/>
        <w:widowControl w:val="0"/>
        <w:spacing w:line="400" w:lineRule="exact"/>
        <w:ind w:firstLineChars="0"/>
        <w:jc w:val="both"/>
        <w:outlineLvl w:val="3"/>
        <w:rPr>
          <w:rFonts w:hint="eastAsia" w:eastAsia="方正大标宋简体" w:cs="Times New Roman"/>
          <w:szCs w:val="32"/>
        </w:rPr>
      </w:pPr>
      <w:bookmarkStart w:id="564" w:name="_Toc215740341"/>
      <w:bookmarkStart w:id="565" w:name="_Toc57819607"/>
      <w:r>
        <w:rPr>
          <w:rFonts w:hint="default" w:ascii="Times New Roman" w:hAnsi="Times New Roman"/>
        </w:rPr>
        <w:t>附件一</w:t>
      </w:r>
      <w:bookmarkEnd w:id="564"/>
    </w:p>
    <w:p w14:paraId="67578749">
      <w:pPr>
        <w:pStyle w:val="4"/>
        <w:spacing w:line="400" w:lineRule="exact"/>
        <w:ind w:firstLineChars="0"/>
        <w:jc w:val="left"/>
        <w:rPr>
          <w:rFonts w:cs="Times New Roman"/>
          <w:sz w:val="28"/>
          <w:szCs w:val="21"/>
        </w:rPr>
      </w:pPr>
      <w:r>
        <w:rPr>
          <w:rFonts w:hint="default" w:ascii="Times New Roman" w:hAnsi="Times New Roman" w:eastAsia="仿宋_GB2312" w:cs="Times New Roman"/>
          <w:sz w:val="28"/>
          <w:szCs w:val="44"/>
        </w:rPr>
        <w:t>期货公司股票期权经纪业务专项检查工作底稿</w:t>
      </w:r>
      <w:bookmarkEnd w:id="565"/>
    </w:p>
    <w:p w14:paraId="64813970">
      <w:pPr>
        <w:spacing w:line="400" w:lineRule="exact"/>
        <w:ind w:firstLine="0" w:firstLineChars="0"/>
        <w:jc w:val="center"/>
        <w:rPr>
          <w:rFonts w:eastAsia="楷体" w:cs="Times New Roman"/>
          <w:sz w:val="28"/>
          <w:szCs w:val="21"/>
        </w:rPr>
      </w:pPr>
      <w:bookmarkStart w:id="566" w:name="_Toc57819608"/>
      <w:r>
        <w:rPr>
          <w:rFonts w:hint="eastAsia" w:eastAsia="楷体" w:cs="Times New Roman"/>
          <w:sz w:val="28"/>
          <w:szCs w:val="21"/>
        </w:rPr>
        <w:t>第一部分</w:t>
      </w:r>
    </w:p>
    <w:p w14:paraId="4C8562EA">
      <w:pPr>
        <w:spacing w:line="400" w:lineRule="exact"/>
        <w:ind w:firstLine="0" w:firstLineChars="0"/>
        <w:jc w:val="center"/>
        <w:rPr>
          <w:rFonts w:hint="eastAsia" w:eastAsia="楷体" w:cs="Times New Roman"/>
          <w:sz w:val="28"/>
          <w:szCs w:val="21"/>
        </w:rPr>
      </w:pPr>
      <w:r>
        <w:rPr>
          <w:rFonts w:hint="eastAsia" w:eastAsia="楷体" w:cs="Times New Roman"/>
          <w:sz w:val="28"/>
          <w:szCs w:val="21"/>
        </w:rPr>
        <w:t>期货公司期权经纪业务就绪情况检查</w:t>
      </w:r>
      <w:bookmarkEnd w:id="566"/>
    </w:p>
    <w:p w14:paraId="3430940F">
      <w:pPr>
        <w:spacing w:line="400" w:lineRule="exact"/>
        <w:ind w:firstLine="0" w:firstLineChars="0"/>
        <w:rPr>
          <w:rFonts w:eastAsia="黑体" w:cs="Times New Roman"/>
          <w:sz w:val="28"/>
          <w:szCs w:val="24"/>
        </w:rPr>
      </w:pPr>
      <w:bookmarkStart w:id="567" w:name="_Toc57819609"/>
      <w:r>
        <w:rPr>
          <w:rFonts w:hint="eastAsia" w:eastAsia="黑体" w:cs="Times New Roman"/>
          <w:sz w:val="28"/>
          <w:szCs w:val="24"/>
        </w:rPr>
        <w:t>一、基本要求</w:t>
      </w:r>
      <w:bookmarkEnd w:id="567"/>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580"/>
        <w:gridCol w:w="691"/>
        <w:gridCol w:w="2693"/>
        <w:gridCol w:w="1000"/>
        <w:gridCol w:w="2203"/>
        <w:gridCol w:w="965"/>
        <w:gridCol w:w="1379"/>
        <w:gridCol w:w="553"/>
      </w:tblGrid>
      <w:tr w14:paraId="51247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580" w:type="dxa"/>
            <w:vMerge w:val="restart"/>
            <w:vAlign w:val="center"/>
          </w:tcPr>
          <w:p w14:paraId="46ACD04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691" w:type="dxa"/>
            <w:vMerge w:val="restart"/>
            <w:vAlign w:val="center"/>
          </w:tcPr>
          <w:p w14:paraId="6EBE080E">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693" w:type="dxa"/>
            <w:vMerge w:val="restart"/>
            <w:vAlign w:val="center"/>
          </w:tcPr>
          <w:p w14:paraId="0B47F50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000" w:type="dxa"/>
            <w:vMerge w:val="restart"/>
            <w:vAlign w:val="center"/>
          </w:tcPr>
          <w:p w14:paraId="628EDAD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203" w:type="dxa"/>
            <w:vMerge w:val="restart"/>
            <w:vAlign w:val="center"/>
          </w:tcPr>
          <w:p w14:paraId="1D6E3BC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2897" w:type="dxa"/>
            <w:gridSpan w:val="3"/>
            <w:vAlign w:val="center"/>
          </w:tcPr>
          <w:p w14:paraId="28F81AA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214D1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580" w:type="dxa"/>
            <w:vMerge w:val="continue"/>
            <w:tcBorders>
              <w:bottom w:val="single" w:color="auto" w:sz="4" w:space="0"/>
            </w:tcBorders>
            <w:vAlign w:val="center"/>
          </w:tcPr>
          <w:p w14:paraId="7F617939">
            <w:pPr>
              <w:widowControl w:val="0"/>
              <w:snapToGrid w:val="0"/>
              <w:spacing w:line="240" w:lineRule="auto"/>
              <w:ind w:firstLine="0" w:firstLineChars="0"/>
              <w:jc w:val="center"/>
              <w:rPr>
                <w:rFonts w:eastAsia="仿宋" w:cs="Times New Roman"/>
                <w:b/>
                <w:sz w:val="24"/>
                <w:szCs w:val="28"/>
              </w:rPr>
            </w:pPr>
          </w:p>
        </w:tc>
        <w:tc>
          <w:tcPr>
            <w:tcW w:w="691" w:type="dxa"/>
            <w:vMerge w:val="continue"/>
            <w:vAlign w:val="center"/>
          </w:tcPr>
          <w:p w14:paraId="5974720C">
            <w:pPr>
              <w:widowControl w:val="0"/>
              <w:snapToGrid w:val="0"/>
              <w:spacing w:line="240" w:lineRule="auto"/>
              <w:ind w:firstLine="0" w:firstLineChars="0"/>
              <w:jc w:val="center"/>
              <w:rPr>
                <w:rFonts w:eastAsia="仿宋" w:cs="Times New Roman"/>
                <w:b/>
                <w:sz w:val="24"/>
                <w:szCs w:val="28"/>
              </w:rPr>
            </w:pPr>
          </w:p>
        </w:tc>
        <w:tc>
          <w:tcPr>
            <w:tcW w:w="2693" w:type="dxa"/>
            <w:vMerge w:val="continue"/>
            <w:vAlign w:val="center"/>
          </w:tcPr>
          <w:p w14:paraId="63481764">
            <w:pPr>
              <w:widowControl w:val="0"/>
              <w:snapToGrid w:val="0"/>
              <w:spacing w:line="240" w:lineRule="auto"/>
              <w:ind w:firstLine="0" w:firstLineChars="0"/>
              <w:jc w:val="center"/>
              <w:rPr>
                <w:rFonts w:eastAsia="仿宋" w:cs="Times New Roman"/>
                <w:b/>
                <w:sz w:val="24"/>
                <w:szCs w:val="28"/>
              </w:rPr>
            </w:pPr>
          </w:p>
        </w:tc>
        <w:tc>
          <w:tcPr>
            <w:tcW w:w="1000" w:type="dxa"/>
            <w:vMerge w:val="continue"/>
            <w:vAlign w:val="center"/>
          </w:tcPr>
          <w:p w14:paraId="5FB639C8">
            <w:pPr>
              <w:widowControl w:val="0"/>
              <w:snapToGrid w:val="0"/>
              <w:spacing w:line="240" w:lineRule="auto"/>
              <w:ind w:firstLine="0" w:firstLineChars="0"/>
              <w:jc w:val="center"/>
              <w:rPr>
                <w:rFonts w:eastAsia="仿宋" w:cs="Times New Roman"/>
                <w:b/>
                <w:sz w:val="24"/>
                <w:szCs w:val="28"/>
              </w:rPr>
            </w:pPr>
          </w:p>
        </w:tc>
        <w:tc>
          <w:tcPr>
            <w:tcW w:w="2203" w:type="dxa"/>
            <w:vMerge w:val="continue"/>
            <w:vAlign w:val="center"/>
          </w:tcPr>
          <w:p w14:paraId="6CD3A16B">
            <w:pPr>
              <w:widowControl w:val="0"/>
              <w:snapToGrid w:val="0"/>
              <w:spacing w:line="240" w:lineRule="auto"/>
              <w:ind w:firstLine="0" w:firstLineChars="0"/>
              <w:jc w:val="center"/>
              <w:rPr>
                <w:rFonts w:eastAsia="仿宋" w:cs="Times New Roman"/>
                <w:b/>
                <w:sz w:val="24"/>
                <w:szCs w:val="28"/>
              </w:rPr>
            </w:pPr>
          </w:p>
        </w:tc>
        <w:tc>
          <w:tcPr>
            <w:tcW w:w="965" w:type="dxa"/>
            <w:vAlign w:val="center"/>
          </w:tcPr>
          <w:p w14:paraId="0DE4781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379" w:type="dxa"/>
            <w:vAlign w:val="center"/>
          </w:tcPr>
          <w:p w14:paraId="10DED0C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553" w:type="dxa"/>
            <w:vAlign w:val="center"/>
          </w:tcPr>
          <w:p w14:paraId="4EFB7F3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0024B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537" w:hRule="atLeast"/>
          <w:jc w:val="center"/>
        </w:trPr>
        <w:tc>
          <w:tcPr>
            <w:tcW w:w="580" w:type="dxa"/>
            <w:vMerge w:val="restart"/>
            <w:tcBorders>
              <w:top w:val="single" w:color="auto" w:sz="4" w:space="0"/>
            </w:tcBorders>
            <w:vAlign w:val="center"/>
          </w:tcPr>
          <w:p w14:paraId="263A173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组织架构</w:t>
            </w:r>
          </w:p>
        </w:tc>
        <w:tc>
          <w:tcPr>
            <w:tcW w:w="691" w:type="dxa"/>
            <w:vAlign w:val="center"/>
          </w:tcPr>
          <w:p w14:paraId="1D992918">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w:t>
            </w:r>
          </w:p>
        </w:tc>
        <w:tc>
          <w:tcPr>
            <w:tcW w:w="2693" w:type="dxa"/>
            <w:vAlign w:val="center"/>
          </w:tcPr>
          <w:p w14:paraId="17CA333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公司总部应设立独立的证券经纪业务部门（一级或二级部门）专门从事股票期权相关现货业务</w:t>
            </w:r>
          </w:p>
        </w:tc>
        <w:tc>
          <w:tcPr>
            <w:tcW w:w="1000" w:type="dxa"/>
            <w:vAlign w:val="center"/>
          </w:tcPr>
          <w:p w14:paraId="431BB9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19A242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《上海证券交易所期货公司股票期权业务指南》（以下简称“《经纪业务指南》”）</w:t>
            </w:r>
          </w:p>
        </w:tc>
        <w:tc>
          <w:tcPr>
            <w:tcW w:w="965" w:type="dxa"/>
            <w:vAlign w:val="center"/>
          </w:tcPr>
          <w:p w14:paraId="00D1B7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8684D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247146C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8B4C5C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A151D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571C9FA0">
            <w:pPr>
              <w:widowControl w:val="0"/>
              <w:snapToGrid w:val="0"/>
              <w:spacing w:line="240" w:lineRule="auto"/>
              <w:ind w:firstLine="0" w:firstLineChars="0"/>
              <w:rPr>
                <w:rFonts w:eastAsia="仿宋" w:cs="Times New Roman"/>
                <w:sz w:val="24"/>
                <w:szCs w:val="28"/>
              </w:rPr>
            </w:pPr>
          </w:p>
        </w:tc>
      </w:tr>
      <w:tr w14:paraId="41C3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1ACE04B8">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6C97C256">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w:t>
            </w:r>
          </w:p>
        </w:tc>
        <w:tc>
          <w:tcPr>
            <w:tcW w:w="2693" w:type="dxa"/>
            <w:vAlign w:val="center"/>
          </w:tcPr>
          <w:p w14:paraId="15074E0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指定负责股票期权经纪业务的部门</w:t>
            </w:r>
          </w:p>
        </w:tc>
        <w:tc>
          <w:tcPr>
            <w:tcW w:w="1000" w:type="dxa"/>
            <w:vAlign w:val="center"/>
          </w:tcPr>
          <w:p w14:paraId="54488AC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7E01BF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2426FEF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70F79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77A310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5ABD5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C24F0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601932EE">
            <w:pPr>
              <w:widowControl w:val="0"/>
              <w:snapToGrid w:val="0"/>
              <w:spacing w:line="240" w:lineRule="auto"/>
              <w:ind w:firstLine="0" w:firstLineChars="0"/>
              <w:rPr>
                <w:rFonts w:eastAsia="仿宋" w:cs="Times New Roman"/>
                <w:sz w:val="24"/>
                <w:szCs w:val="28"/>
              </w:rPr>
            </w:pPr>
          </w:p>
        </w:tc>
      </w:tr>
      <w:tr w14:paraId="5844F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0AF7122A">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438098C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p>
        </w:tc>
        <w:tc>
          <w:tcPr>
            <w:tcW w:w="2693" w:type="dxa"/>
            <w:vAlign w:val="center"/>
          </w:tcPr>
          <w:p w14:paraId="37718A4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在经纪部门外其他部门设置独立的衍生品风险控制、结算、运行等岗位</w:t>
            </w:r>
          </w:p>
        </w:tc>
        <w:tc>
          <w:tcPr>
            <w:tcW w:w="1000" w:type="dxa"/>
            <w:vAlign w:val="center"/>
          </w:tcPr>
          <w:p w14:paraId="19D339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5741D2A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133B9D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10889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6F7DC3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6C7F6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0465B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262AEFF9">
            <w:pPr>
              <w:widowControl w:val="0"/>
              <w:snapToGrid w:val="0"/>
              <w:spacing w:line="240" w:lineRule="auto"/>
              <w:ind w:firstLine="0" w:firstLineChars="0"/>
              <w:rPr>
                <w:rFonts w:eastAsia="仿宋" w:cs="Times New Roman"/>
                <w:sz w:val="24"/>
                <w:szCs w:val="28"/>
              </w:rPr>
            </w:pPr>
          </w:p>
        </w:tc>
      </w:tr>
      <w:tr w14:paraId="4FCA5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68857A60">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63B4984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p>
        </w:tc>
        <w:tc>
          <w:tcPr>
            <w:tcW w:w="2693" w:type="dxa"/>
            <w:vAlign w:val="center"/>
          </w:tcPr>
          <w:p w14:paraId="2243C39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对拟参与期权经纪业务的营业部，需设立独立的相关岗位</w:t>
            </w:r>
          </w:p>
        </w:tc>
        <w:tc>
          <w:tcPr>
            <w:tcW w:w="1000" w:type="dxa"/>
            <w:vAlign w:val="center"/>
          </w:tcPr>
          <w:p w14:paraId="1CB3A7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333017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56F4225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ED5EC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1FDCBBE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220D1A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017B3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584E52C6">
            <w:pPr>
              <w:widowControl w:val="0"/>
              <w:snapToGrid w:val="0"/>
              <w:spacing w:line="240" w:lineRule="auto"/>
              <w:ind w:firstLine="0" w:firstLineChars="0"/>
              <w:rPr>
                <w:rFonts w:eastAsia="仿宋" w:cs="Times New Roman"/>
                <w:sz w:val="24"/>
                <w:szCs w:val="28"/>
              </w:rPr>
            </w:pPr>
          </w:p>
        </w:tc>
      </w:tr>
      <w:tr w14:paraId="389F5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restart"/>
            <w:vAlign w:val="center"/>
          </w:tcPr>
          <w:p w14:paraId="20E9F8A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制度规则</w:t>
            </w:r>
          </w:p>
        </w:tc>
        <w:tc>
          <w:tcPr>
            <w:tcW w:w="691" w:type="dxa"/>
            <w:vAlign w:val="center"/>
          </w:tcPr>
          <w:p w14:paraId="4AF4E0A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5</w:t>
            </w:r>
          </w:p>
        </w:tc>
        <w:tc>
          <w:tcPr>
            <w:tcW w:w="2693" w:type="dxa"/>
            <w:vAlign w:val="center"/>
          </w:tcPr>
          <w:p w14:paraId="032A1BB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期权经纪业务管理制度</w:t>
            </w:r>
          </w:p>
        </w:tc>
        <w:tc>
          <w:tcPr>
            <w:tcW w:w="1000" w:type="dxa"/>
            <w:vAlign w:val="center"/>
          </w:tcPr>
          <w:p w14:paraId="017605A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27C3F77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23FA78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ADE7A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2412B03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BFF019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0ED3F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28B165E9">
            <w:pPr>
              <w:widowControl w:val="0"/>
              <w:snapToGrid w:val="0"/>
              <w:spacing w:line="240" w:lineRule="auto"/>
              <w:ind w:firstLine="0" w:firstLineChars="0"/>
              <w:rPr>
                <w:rFonts w:eastAsia="仿宋" w:cs="Times New Roman"/>
                <w:sz w:val="24"/>
                <w:szCs w:val="28"/>
              </w:rPr>
            </w:pPr>
          </w:p>
        </w:tc>
      </w:tr>
      <w:tr w14:paraId="1E468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530FD0E8">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20CE459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6</w:t>
            </w:r>
          </w:p>
        </w:tc>
        <w:tc>
          <w:tcPr>
            <w:tcW w:w="2693" w:type="dxa"/>
            <w:vAlign w:val="center"/>
          </w:tcPr>
          <w:p w14:paraId="244FE475">
            <w:pPr>
              <w:widowControl w:val="0"/>
              <w:snapToGrid w:val="0"/>
              <w:spacing w:line="240" w:lineRule="auto"/>
              <w:ind w:firstLine="0" w:firstLineChars="0"/>
              <w:rPr>
                <w:rFonts w:eastAsia="仿宋" w:cs="Times New Roman"/>
                <w:sz w:val="24"/>
                <w:szCs w:val="28"/>
              </w:rPr>
            </w:pPr>
          </w:p>
          <w:p w14:paraId="27FC1DF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期权交易管理制度</w:t>
            </w:r>
          </w:p>
        </w:tc>
        <w:tc>
          <w:tcPr>
            <w:tcW w:w="1000" w:type="dxa"/>
            <w:vAlign w:val="center"/>
          </w:tcPr>
          <w:p w14:paraId="0E1769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333DC1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633539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BE8A9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77BFF3E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9FBE4A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F7F42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002B757A">
            <w:pPr>
              <w:widowControl w:val="0"/>
              <w:snapToGrid w:val="0"/>
              <w:spacing w:line="240" w:lineRule="auto"/>
              <w:ind w:firstLine="0" w:firstLineChars="0"/>
              <w:rPr>
                <w:rFonts w:eastAsia="仿宋" w:cs="Times New Roman"/>
                <w:sz w:val="24"/>
                <w:szCs w:val="28"/>
              </w:rPr>
            </w:pPr>
          </w:p>
        </w:tc>
      </w:tr>
      <w:tr w14:paraId="439EF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12C0DDAE">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0C051C21">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7</w:t>
            </w:r>
          </w:p>
        </w:tc>
        <w:tc>
          <w:tcPr>
            <w:tcW w:w="2693" w:type="dxa"/>
            <w:vAlign w:val="center"/>
          </w:tcPr>
          <w:p w14:paraId="3B14CF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期权客户适当性评估以及分级管理制度</w:t>
            </w:r>
          </w:p>
        </w:tc>
        <w:tc>
          <w:tcPr>
            <w:tcW w:w="1000" w:type="dxa"/>
            <w:vAlign w:val="center"/>
          </w:tcPr>
          <w:p w14:paraId="285B77E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58140BB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141194A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1801D6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2AF52A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A5BE81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2E3300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70B750AD">
            <w:pPr>
              <w:widowControl w:val="0"/>
              <w:snapToGrid w:val="0"/>
              <w:spacing w:line="240" w:lineRule="auto"/>
              <w:ind w:firstLine="0" w:firstLineChars="0"/>
              <w:rPr>
                <w:rFonts w:eastAsia="仿宋" w:cs="Times New Roman"/>
                <w:sz w:val="24"/>
                <w:szCs w:val="28"/>
              </w:rPr>
            </w:pPr>
          </w:p>
        </w:tc>
      </w:tr>
      <w:tr w14:paraId="52F53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45B209A5">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5A28D3E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8</w:t>
            </w:r>
          </w:p>
        </w:tc>
        <w:tc>
          <w:tcPr>
            <w:tcW w:w="2693" w:type="dxa"/>
            <w:vAlign w:val="center"/>
          </w:tcPr>
          <w:p w14:paraId="6B566AB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期权风险控制与风险处置相关制度</w:t>
            </w:r>
          </w:p>
        </w:tc>
        <w:tc>
          <w:tcPr>
            <w:tcW w:w="1000" w:type="dxa"/>
            <w:vAlign w:val="center"/>
          </w:tcPr>
          <w:p w14:paraId="6D49870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38CD5A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390F131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25B691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57DC53A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A81160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53658B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10F64657">
            <w:pPr>
              <w:widowControl w:val="0"/>
              <w:snapToGrid w:val="0"/>
              <w:spacing w:line="240" w:lineRule="auto"/>
              <w:ind w:firstLine="0" w:firstLineChars="0"/>
              <w:rPr>
                <w:rFonts w:eastAsia="仿宋" w:cs="Times New Roman"/>
                <w:sz w:val="24"/>
                <w:szCs w:val="28"/>
              </w:rPr>
            </w:pPr>
          </w:p>
        </w:tc>
      </w:tr>
      <w:tr w14:paraId="0B6E8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935" w:hRule="atLeast"/>
          <w:jc w:val="center"/>
        </w:trPr>
        <w:tc>
          <w:tcPr>
            <w:tcW w:w="580" w:type="dxa"/>
            <w:vMerge w:val="continue"/>
            <w:vAlign w:val="center"/>
          </w:tcPr>
          <w:p w14:paraId="23CA478F">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222808E6">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9</w:t>
            </w:r>
          </w:p>
        </w:tc>
        <w:tc>
          <w:tcPr>
            <w:tcW w:w="2693" w:type="dxa"/>
            <w:vAlign w:val="center"/>
          </w:tcPr>
          <w:p w14:paraId="74EA321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内控管理制度（包括但不限于交易系统、风险监控及处置、客户选择与资信、行权、清算、结算和信息系统等方面）</w:t>
            </w:r>
          </w:p>
        </w:tc>
        <w:tc>
          <w:tcPr>
            <w:tcW w:w="1000" w:type="dxa"/>
            <w:vAlign w:val="center"/>
          </w:tcPr>
          <w:p w14:paraId="5791D5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10C80E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65EEBE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3199C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588C39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691BB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FD2CB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04C4C2B6">
            <w:pPr>
              <w:widowControl w:val="0"/>
              <w:snapToGrid w:val="0"/>
              <w:spacing w:line="240" w:lineRule="auto"/>
              <w:ind w:firstLine="0" w:firstLineChars="0"/>
              <w:rPr>
                <w:rFonts w:eastAsia="仿宋" w:cs="Times New Roman"/>
                <w:sz w:val="24"/>
                <w:szCs w:val="28"/>
              </w:rPr>
            </w:pPr>
          </w:p>
        </w:tc>
      </w:tr>
      <w:tr w14:paraId="23207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627" w:hRule="atLeast"/>
          <w:jc w:val="center"/>
        </w:trPr>
        <w:tc>
          <w:tcPr>
            <w:tcW w:w="580" w:type="dxa"/>
            <w:vMerge w:val="continue"/>
            <w:vAlign w:val="center"/>
          </w:tcPr>
          <w:p w14:paraId="2A12C056">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2C69748A">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10</w:t>
            </w:r>
          </w:p>
        </w:tc>
        <w:tc>
          <w:tcPr>
            <w:tcW w:w="2693" w:type="dxa"/>
            <w:vAlign w:val="center"/>
          </w:tcPr>
          <w:p w14:paraId="64A8AF0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期权客户管理相关制度</w:t>
            </w:r>
          </w:p>
          <w:p w14:paraId="36501BD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（包括但不限于客户投诉、客户回访、投资者教育等方面）</w:t>
            </w:r>
          </w:p>
        </w:tc>
        <w:tc>
          <w:tcPr>
            <w:tcW w:w="1000" w:type="dxa"/>
            <w:vAlign w:val="center"/>
          </w:tcPr>
          <w:p w14:paraId="3A485DE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0546F7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0E9C621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06CBDB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06B5E9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BDAD1A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4AAD1B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083CE4C1">
            <w:pPr>
              <w:widowControl w:val="0"/>
              <w:snapToGrid w:val="0"/>
              <w:spacing w:line="240" w:lineRule="auto"/>
              <w:ind w:firstLine="0" w:firstLineChars="0"/>
              <w:rPr>
                <w:rFonts w:eastAsia="仿宋" w:cs="Times New Roman"/>
                <w:sz w:val="24"/>
                <w:szCs w:val="28"/>
              </w:rPr>
            </w:pPr>
          </w:p>
        </w:tc>
      </w:tr>
      <w:tr w14:paraId="34C86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637" w:hRule="atLeast"/>
          <w:jc w:val="center"/>
        </w:trPr>
        <w:tc>
          <w:tcPr>
            <w:tcW w:w="580" w:type="dxa"/>
            <w:vMerge w:val="continue"/>
            <w:vAlign w:val="center"/>
          </w:tcPr>
          <w:p w14:paraId="2E7DDF59">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2DEE2C5B">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11</w:t>
            </w:r>
          </w:p>
        </w:tc>
        <w:tc>
          <w:tcPr>
            <w:tcW w:w="2693" w:type="dxa"/>
            <w:vAlign w:val="center"/>
          </w:tcPr>
          <w:p w14:paraId="25285C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合规管理制度（包括但不限于隔离制度、利益冲突防范制度、合规检查与处罚制度）</w:t>
            </w:r>
          </w:p>
        </w:tc>
        <w:tc>
          <w:tcPr>
            <w:tcW w:w="1000" w:type="dxa"/>
            <w:vAlign w:val="center"/>
          </w:tcPr>
          <w:p w14:paraId="186E926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64F219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36B63B0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803DC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1725797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3B27C0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14C637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2A91C1E6">
            <w:pPr>
              <w:widowControl w:val="0"/>
              <w:snapToGrid w:val="0"/>
              <w:spacing w:line="240" w:lineRule="auto"/>
              <w:ind w:firstLine="0" w:firstLineChars="0"/>
              <w:rPr>
                <w:rFonts w:eastAsia="仿宋" w:cs="Times New Roman"/>
                <w:sz w:val="24"/>
                <w:szCs w:val="28"/>
              </w:rPr>
            </w:pPr>
          </w:p>
        </w:tc>
      </w:tr>
      <w:tr w14:paraId="13C5F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075714D8">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32C74A08">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12</w:t>
            </w:r>
          </w:p>
        </w:tc>
        <w:tc>
          <w:tcPr>
            <w:tcW w:w="2693" w:type="dxa"/>
            <w:vAlign w:val="center"/>
          </w:tcPr>
          <w:p w14:paraId="226FEB2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期权经纪合同、风险揭示书、期权</w:t>
            </w:r>
            <w:r>
              <w:rPr>
                <w:rFonts w:eastAsia="仿宋" w:cs="Times New Roman"/>
                <w:sz w:val="24"/>
                <w:szCs w:val="28"/>
              </w:rPr>
              <w:t>投资者适当性综合评估表</w:t>
            </w:r>
            <w:r>
              <w:rPr>
                <w:rFonts w:hint="eastAsia" w:eastAsia="仿宋" w:cs="Times New Roman"/>
                <w:sz w:val="24"/>
                <w:szCs w:val="28"/>
              </w:rPr>
              <w:t>、</w:t>
            </w:r>
            <w:r>
              <w:rPr>
                <w:rFonts w:eastAsia="仿宋" w:cs="Times New Roman"/>
                <w:sz w:val="24"/>
                <w:szCs w:val="28"/>
              </w:rPr>
              <w:t>开户申请表</w:t>
            </w:r>
            <w:r>
              <w:rPr>
                <w:rFonts w:hint="eastAsia" w:eastAsia="仿宋" w:cs="Times New Roman"/>
                <w:sz w:val="24"/>
                <w:szCs w:val="28"/>
              </w:rPr>
              <w:t>等</w:t>
            </w:r>
          </w:p>
        </w:tc>
        <w:tc>
          <w:tcPr>
            <w:tcW w:w="1000" w:type="dxa"/>
            <w:vAlign w:val="center"/>
          </w:tcPr>
          <w:p w14:paraId="3A9CED4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314729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1200139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7FCAFE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23F5B45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41381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B5B47C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17DCFC41">
            <w:pPr>
              <w:widowControl w:val="0"/>
              <w:snapToGrid w:val="0"/>
              <w:spacing w:line="240" w:lineRule="auto"/>
              <w:ind w:firstLine="0" w:firstLineChars="0"/>
              <w:rPr>
                <w:rFonts w:eastAsia="仿宋" w:cs="Times New Roman"/>
                <w:sz w:val="24"/>
                <w:szCs w:val="28"/>
              </w:rPr>
            </w:pPr>
          </w:p>
        </w:tc>
      </w:tr>
      <w:tr w14:paraId="52273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2CF2D3E2">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7AB752B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13</w:t>
            </w:r>
          </w:p>
        </w:tc>
        <w:tc>
          <w:tcPr>
            <w:tcW w:w="2693" w:type="dxa"/>
            <w:vAlign w:val="center"/>
          </w:tcPr>
          <w:p w14:paraId="65ED8A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分支机构业务管理及分支机构相关内部控制</w:t>
            </w:r>
          </w:p>
        </w:tc>
        <w:tc>
          <w:tcPr>
            <w:tcW w:w="1000" w:type="dxa"/>
            <w:vAlign w:val="center"/>
          </w:tcPr>
          <w:p w14:paraId="64DF98F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70FD2D2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3BB9113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5D58CA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2C817BD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E78E8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F7C914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68DF1B4D">
            <w:pPr>
              <w:widowControl w:val="0"/>
              <w:snapToGrid w:val="0"/>
              <w:spacing w:line="240" w:lineRule="auto"/>
              <w:ind w:firstLine="0" w:firstLineChars="0"/>
              <w:rPr>
                <w:rFonts w:eastAsia="仿宋" w:cs="Times New Roman"/>
                <w:sz w:val="24"/>
                <w:szCs w:val="28"/>
              </w:rPr>
            </w:pPr>
          </w:p>
        </w:tc>
      </w:tr>
      <w:tr w14:paraId="4CB2C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461718C0">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7F1D55F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14</w:t>
            </w:r>
          </w:p>
        </w:tc>
        <w:tc>
          <w:tcPr>
            <w:tcW w:w="2693" w:type="dxa"/>
            <w:vAlign w:val="center"/>
          </w:tcPr>
          <w:p w14:paraId="2024B3D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期权经纪业务应急预案</w:t>
            </w:r>
          </w:p>
        </w:tc>
        <w:tc>
          <w:tcPr>
            <w:tcW w:w="1000" w:type="dxa"/>
            <w:vAlign w:val="center"/>
          </w:tcPr>
          <w:p w14:paraId="3B1405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0A140F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3EB12F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E85C29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5C8719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5E982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A4D2EF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6E0EE6A2">
            <w:pPr>
              <w:widowControl w:val="0"/>
              <w:snapToGrid w:val="0"/>
              <w:spacing w:line="240" w:lineRule="auto"/>
              <w:ind w:firstLine="0" w:firstLineChars="0"/>
              <w:rPr>
                <w:rFonts w:eastAsia="仿宋" w:cs="Times New Roman"/>
                <w:sz w:val="24"/>
                <w:szCs w:val="28"/>
              </w:rPr>
            </w:pPr>
          </w:p>
        </w:tc>
      </w:tr>
      <w:tr w14:paraId="03A96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vAlign w:val="center"/>
          </w:tcPr>
          <w:p w14:paraId="011D8903">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651DD93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15</w:t>
            </w:r>
          </w:p>
        </w:tc>
        <w:tc>
          <w:tcPr>
            <w:tcW w:w="2693" w:type="dxa"/>
            <w:vAlign w:val="center"/>
          </w:tcPr>
          <w:p w14:paraId="4522AB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公司及客户保证金压力测试制度及方案</w:t>
            </w:r>
          </w:p>
        </w:tc>
        <w:tc>
          <w:tcPr>
            <w:tcW w:w="1000" w:type="dxa"/>
            <w:vAlign w:val="center"/>
          </w:tcPr>
          <w:p w14:paraId="5E0842F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7DFE27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1A5022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F596D4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74C18A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FFA27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AD27E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783AD279">
            <w:pPr>
              <w:widowControl w:val="0"/>
              <w:snapToGrid w:val="0"/>
              <w:spacing w:line="240" w:lineRule="auto"/>
              <w:ind w:firstLine="0" w:firstLineChars="0"/>
              <w:rPr>
                <w:rFonts w:eastAsia="仿宋" w:cs="Times New Roman"/>
                <w:sz w:val="24"/>
                <w:szCs w:val="28"/>
              </w:rPr>
            </w:pPr>
          </w:p>
        </w:tc>
      </w:tr>
      <w:tr w14:paraId="0C445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602" w:hRule="atLeast"/>
          <w:jc w:val="center"/>
        </w:trPr>
        <w:tc>
          <w:tcPr>
            <w:tcW w:w="580" w:type="dxa"/>
            <w:vMerge w:val="continue"/>
            <w:vAlign w:val="center"/>
          </w:tcPr>
          <w:p w14:paraId="1414C4C0">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7BCCB53D">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16</w:t>
            </w:r>
          </w:p>
        </w:tc>
        <w:tc>
          <w:tcPr>
            <w:tcW w:w="2693" w:type="dxa"/>
            <w:vAlign w:val="center"/>
          </w:tcPr>
          <w:p w14:paraId="7751ED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公司程序化业务接入管理制度，明确客户进行程序</w:t>
            </w:r>
            <w:r>
              <w:rPr>
                <w:rFonts w:hint="eastAsia" w:eastAsia="仿宋" w:cs="Times New Roman"/>
                <w:sz w:val="24"/>
                <w:szCs w:val="28"/>
                <w:lang w:val="en-US" w:eastAsia="zh-CN"/>
              </w:rPr>
              <w:t>化</w:t>
            </w:r>
            <w:r>
              <w:rPr>
                <w:rFonts w:hint="eastAsia" w:eastAsia="仿宋" w:cs="Times New Roman"/>
                <w:sz w:val="24"/>
                <w:szCs w:val="28"/>
              </w:rPr>
              <w:t>交易的相关要求和管理机制</w:t>
            </w:r>
          </w:p>
        </w:tc>
        <w:tc>
          <w:tcPr>
            <w:tcW w:w="1000" w:type="dxa"/>
            <w:vAlign w:val="center"/>
          </w:tcPr>
          <w:p w14:paraId="1D20A3C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0838536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73E35F4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4CB9C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424A8B1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0C68A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BAEFF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237CF80A">
            <w:pPr>
              <w:widowControl w:val="0"/>
              <w:snapToGrid w:val="0"/>
              <w:spacing w:line="240" w:lineRule="auto"/>
              <w:ind w:firstLine="0" w:firstLineChars="0"/>
              <w:rPr>
                <w:rFonts w:eastAsia="仿宋" w:cs="Times New Roman"/>
                <w:sz w:val="24"/>
                <w:szCs w:val="28"/>
              </w:rPr>
            </w:pPr>
          </w:p>
        </w:tc>
      </w:tr>
      <w:tr w14:paraId="6D3B1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552" w:hRule="atLeast"/>
          <w:jc w:val="center"/>
        </w:trPr>
        <w:tc>
          <w:tcPr>
            <w:tcW w:w="580" w:type="dxa"/>
            <w:vMerge w:val="continue"/>
            <w:vAlign w:val="center"/>
          </w:tcPr>
          <w:p w14:paraId="3447143B">
            <w:pPr>
              <w:widowControl w:val="0"/>
              <w:snapToGrid w:val="0"/>
              <w:spacing w:line="240" w:lineRule="auto"/>
              <w:ind w:firstLine="0" w:firstLineChars="0"/>
              <w:jc w:val="center"/>
              <w:rPr>
                <w:rFonts w:eastAsia="仿宋" w:cs="Times New Roman"/>
                <w:b/>
                <w:sz w:val="24"/>
                <w:szCs w:val="28"/>
              </w:rPr>
            </w:pPr>
          </w:p>
        </w:tc>
        <w:tc>
          <w:tcPr>
            <w:tcW w:w="691" w:type="dxa"/>
            <w:vAlign w:val="center"/>
          </w:tcPr>
          <w:p w14:paraId="25DFEF81">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17</w:t>
            </w:r>
          </w:p>
        </w:tc>
        <w:tc>
          <w:tcPr>
            <w:tcW w:w="2693" w:type="dxa"/>
            <w:vAlign w:val="center"/>
          </w:tcPr>
          <w:p w14:paraId="1AF3FA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期权业务组织架构图以及期权及</w:t>
            </w:r>
            <w:r>
              <w:rPr>
                <w:rFonts w:eastAsia="仿宋" w:cs="Times New Roman"/>
                <w:sz w:val="24"/>
                <w:szCs w:val="28"/>
              </w:rPr>
              <w:t>现货</w:t>
            </w:r>
            <w:r>
              <w:rPr>
                <w:rFonts w:hint="eastAsia" w:eastAsia="仿宋" w:cs="Times New Roman"/>
                <w:sz w:val="24"/>
                <w:szCs w:val="28"/>
              </w:rPr>
              <w:t>相关业务人员名册（姓名、部门、岗位、联系方式、主备岗）</w:t>
            </w:r>
          </w:p>
        </w:tc>
        <w:tc>
          <w:tcPr>
            <w:tcW w:w="1000" w:type="dxa"/>
            <w:vAlign w:val="center"/>
          </w:tcPr>
          <w:p w14:paraId="1CCCF5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7DE9965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0539EF7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AA34F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0620CFE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3D5B6D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8D4976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7EC1D5FC">
            <w:pPr>
              <w:widowControl w:val="0"/>
              <w:snapToGrid w:val="0"/>
              <w:spacing w:line="240" w:lineRule="auto"/>
              <w:ind w:firstLine="0" w:firstLineChars="0"/>
              <w:rPr>
                <w:rFonts w:eastAsia="仿宋" w:cs="Times New Roman"/>
                <w:sz w:val="24"/>
                <w:szCs w:val="28"/>
              </w:rPr>
            </w:pPr>
          </w:p>
        </w:tc>
      </w:tr>
      <w:tr w14:paraId="6C721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4447" w:hRule="atLeast"/>
          <w:jc w:val="center"/>
        </w:trPr>
        <w:tc>
          <w:tcPr>
            <w:tcW w:w="580" w:type="dxa"/>
            <w:vAlign w:val="center"/>
          </w:tcPr>
          <w:p w14:paraId="0EE9E38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业务流程</w:t>
            </w:r>
          </w:p>
        </w:tc>
        <w:tc>
          <w:tcPr>
            <w:tcW w:w="691" w:type="dxa"/>
            <w:vAlign w:val="center"/>
          </w:tcPr>
          <w:p w14:paraId="3DC961A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18</w:t>
            </w:r>
          </w:p>
        </w:tc>
        <w:tc>
          <w:tcPr>
            <w:tcW w:w="2693" w:type="dxa"/>
            <w:vAlign w:val="center"/>
          </w:tcPr>
          <w:p w14:paraId="71B4B17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期权业务流程明确（包括开户及</w:t>
            </w:r>
            <w:r>
              <w:rPr>
                <w:rFonts w:eastAsia="仿宋" w:cs="Times New Roman"/>
                <w:sz w:val="24"/>
                <w:szCs w:val="28"/>
              </w:rPr>
              <w:t>适当性审核</w:t>
            </w:r>
            <w:r>
              <w:rPr>
                <w:rFonts w:hint="eastAsia" w:eastAsia="仿宋" w:cs="Times New Roman"/>
                <w:sz w:val="24"/>
                <w:szCs w:val="28"/>
              </w:rPr>
              <w:t>流程；资金管理流程</w:t>
            </w:r>
            <w:r>
              <w:rPr>
                <w:rFonts w:eastAsia="仿宋" w:cs="Times New Roman"/>
                <w:sz w:val="24"/>
                <w:szCs w:val="28"/>
              </w:rPr>
              <w:t>；</w:t>
            </w:r>
            <w:r>
              <w:rPr>
                <w:rFonts w:hint="eastAsia" w:eastAsia="仿宋" w:cs="Times New Roman"/>
                <w:sz w:val="24"/>
                <w:szCs w:val="28"/>
              </w:rPr>
              <w:t>持仓限额管理流程;交易管理</w:t>
            </w:r>
            <w:r>
              <w:rPr>
                <w:rFonts w:eastAsia="仿宋" w:cs="Times New Roman"/>
                <w:sz w:val="24"/>
                <w:szCs w:val="28"/>
              </w:rPr>
              <w:t>流程</w:t>
            </w:r>
            <w:r>
              <w:rPr>
                <w:rFonts w:hint="eastAsia" w:eastAsia="仿宋" w:cs="Times New Roman"/>
                <w:sz w:val="24"/>
                <w:szCs w:val="28"/>
              </w:rPr>
              <w:t>（包括</w:t>
            </w:r>
            <w:r>
              <w:rPr>
                <w:rFonts w:eastAsia="仿宋" w:cs="Times New Roman"/>
                <w:sz w:val="24"/>
                <w:szCs w:val="28"/>
              </w:rPr>
              <w:t>行权指令合并申报</w:t>
            </w:r>
            <w:r>
              <w:rPr>
                <w:rFonts w:hint="eastAsia" w:eastAsia="仿宋" w:cs="Times New Roman"/>
                <w:sz w:val="24"/>
                <w:szCs w:val="28"/>
              </w:rPr>
              <w:t>，如有）</w:t>
            </w:r>
            <w:r>
              <w:rPr>
                <w:rFonts w:eastAsia="仿宋" w:cs="Times New Roman"/>
                <w:sz w:val="24"/>
                <w:szCs w:val="28"/>
              </w:rPr>
              <w:t>；</w:t>
            </w:r>
            <w:r>
              <w:rPr>
                <w:rFonts w:hint="eastAsia" w:eastAsia="仿宋" w:cs="Times New Roman"/>
                <w:sz w:val="24"/>
                <w:szCs w:val="28"/>
              </w:rPr>
              <w:t>合约相关信息变化的提醒流程;风险管理和处置流程（包括盯市</w:t>
            </w:r>
            <w:r>
              <w:rPr>
                <w:rFonts w:eastAsia="仿宋" w:cs="Times New Roman"/>
                <w:sz w:val="24"/>
                <w:szCs w:val="28"/>
              </w:rPr>
              <w:t>、强平、备兑不足</w:t>
            </w:r>
            <w:r>
              <w:rPr>
                <w:rFonts w:hint="eastAsia" w:eastAsia="仿宋" w:cs="Times New Roman"/>
                <w:sz w:val="24"/>
                <w:szCs w:val="28"/>
              </w:rPr>
              <w:t>、</w:t>
            </w:r>
            <w:r>
              <w:rPr>
                <w:rFonts w:eastAsia="仿宋" w:cs="Times New Roman"/>
                <w:sz w:val="24"/>
                <w:szCs w:val="28"/>
              </w:rPr>
              <w:t>违约处置</w:t>
            </w:r>
            <w:r>
              <w:rPr>
                <w:rFonts w:hint="eastAsia" w:eastAsia="仿宋" w:cs="Times New Roman"/>
                <w:sz w:val="24"/>
                <w:szCs w:val="28"/>
              </w:rPr>
              <w:t>等）;大户报备</w:t>
            </w:r>
            <w:r>
              <w:rPr>
                <w:rFonts w:eastAsia="仿宋" w:cs="Times New Roman"/>
                <w:sz w:val="24"/>
                <w:szCs w:val="28"/>
              </w:rPr>
              <w:t>；</w:t>
            </w:r>
            <w:r>
              <w:rPr>
                <w:rFonts w:hint="eastAsia" w:eastAsia="仿宋" w:cs="Times New Roman"/>
                <w:sz w:val="24"/>
                <w:szCs w:val="28"/>
              </w:rPr>
              <w:t>客户程序</w:t>
            </w:r>
            <w:r>
              <w:rPr>
                <w:rFonts w:hint="eastAsia" w:eastAsia="仿宋" w:cs="Times New Roman"/>
                <w:sz w:val="24"/>
                <w:szCs w:val="28"/>
                <w:lang w:val="en-US" w:eastAsia="zh-CN"/>
              </w:rPr>
              <w:t>化</w:t>
            </w:r>
            <w:r>
              <w:rPr>
                <w:rFonts w:hint="eastAsia" w:eastAsia="仿宋" w:cs="Times New Roman"/>
                <w:sz w:val="24"/>
                <w:szCs w:val="28"/>
              </w:rPr>
              <w:t>交易报</w:t>
            </w:r>
            <w:r>
              <w:rPr>
                <w:rFonts w:hint="eastAsia" w:eastAsia="仿宋" w:cs="Times New Roman"/>
                <w:sz w:val="24"/>
                <w:szCs w:val="28"/>
                <w:lang w:val="en-US" w:eastAsia="zh-CN"/>
              </w:rPr>
              <w:t>告</w:t>
            </w:r>
            <w:r>
              <w:rPr>
                <w:rFonts w:hint="eastAsia" w:eastAsia="仿宋" w:cs="Times New Roman"/>
                <w:sz w:val="24"/>
                <w:szCs w:val="28"/>
              </w:rPr>
              <w:t>、核查及持续监控流程）</w:t>
            </w:r>
          </w:p>
        </w:tc>
        <w:tc>
          <w:tcPr>
            <w:tcW w:w="1000" w:type="dxa"/>
            <w:vAlign w:val="center"/>
          </w:tcPr>
          <w:p w14:paraId="3C09F6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6541A01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《上海证券交易所、中国证券登记结算有限责任公司股票期权试点风险控制管理办法》（以下简称“《风控管理办法》”）、《上海证券交易所股票期权试点交易规则》、《经纪业务指南》</w:t>
            </w:r>
          </w:p>
        </w:tc>
        <w:tc>
          <w:tcPr>
            <w:tcW w:w="965" w:type="dxa"/>
            <w:vAlign w:val="center"/>
          </w:tcPr>
          <w:p w14:paraId="21A6FF7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EA3A77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075D3A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EA4D25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4270D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592E9E0C">
            <w:pPr>
              <w:widowControl w:val="0"/>
              <w:snapToGrid w:val="0"/>
              <w:spacing w:line="240" w:lineRule="auto"/>
              <w:ind w:firstLine="0" w:firstLineChars="0"/>
              <w:rPr>
                <w:rFonts w:eastAsia="仿宋" w:cs="Times New Roman"/>
                <w:sz w:val="24"/>
                <w:szCs w:val="28"/>
              </w:rPr>
            </w:pPr>
          </w:p>
        </w:tc>
      </w:tr>
      <w:tr w14:paraId="5DE28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437" w:hRule="atLeast"/>
          <w:jc w:val="center"/>
        </w:trPr>
        <w:tc>
          <w:tcPr>
            <w:tcW w:w="580" w:type="dxa"/>
            <w:vAlign w:val="center"/>
          </w:tcPr>
          <w:p w14:paraId="70365C1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系统性能</w:t>
            </w:r>
          </w:p>
        </w:tc>
        <w:tc>
          <w:tcPr>
            <w:tcW w:w="691" w:type="dxa"/>
            <w:vAlign w:val="center"/>
          </w:tcPr>
          <w:p w14:paraId="7077834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19</w:t>
            </w:r>
          </w:p>
        </w:tc>
        <w:tc>
          <w:tcPr>
            <w:tcW w:w="2693" w:type="dxa"/>
            <w:vAlign w:val="center"/>
          </w:tcPr>
          <w:p w14:paraId="33F4C33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对终端系统进行容量、效率、并发、响应时间、统一接入及负载均衡等方面的设计</w:t>
            </w:r>
          </w:p>
        </w:tc>
        <w:tc>
          <w:tcPr>
            <w:tcW w:w="1000" w:type="dxa"/>
            <w:vAlign w:val="center"/>
          </w:tcPr>
          <w:p w14:paraId="4FF1EF4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203" w:type="dxa"/>
            <w:vAlign w:val="center"/>
          </w:tcPr>
          <w:p w14:paraId="0F74FF3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965" w:type="dxa"/>
            <w:vAlign w:val="center"/>
          </w:tcPr>
          <w:p w14:paraId="166E951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B5AD6E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56F3D2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2D9D6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A147BA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5ED9A02B">
            <w:pPr>
              <w:widowControl w:val="0"/>
              <w:snapToGrid w:val="0"/>
              <w:spacing w:line="240" w:lineRule="auto"/>
              <w:ind w:firstLine="0" w:firstLineChars="0"/>
              <w:rPr>
                <w:rFonts w:eastAsia="仿宋" w:cs="Times New Roman"/>
                <w:sz w:val="24"/>
                <w:szCs w:val="28"/>
              </w:rPr>
            </w:pPr>
          </w:p>
        </w:tc>
      </w:tr>
      <w:tr w14:paraId="1BBB6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restart"/>
            <w:tcBorders>
              <w:top w:val="single" w:color="000000" w:sz="4" w:space="0"/>
              <w:left w:val="single" w:color="000000" w:sz="4" w:space="0"/>
              <w:right w:val="single" w:color="000000" w:sz="4" w:space="0"/>
            </w:tcBorders>
            <w:vAlign w:val="center"/>
          </w:tcPr>
          <w:p w14:paraId="56B96C1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培训情况</w:t>
            </w:r>
          </w:p>
          <w:p w14:paraId="2273AB02">
            <w:pPr>
              <w:widowControl w:val="0"/>
              <w:snapToGrid w:val="0"/>
              <w:spacing w:line="240" w:lineRule="auto"/>
              <w:ind w:firstLine="0" w:firstLineChars="0"/>
              <w:jc w:val="center"/>
              <w:rPr>
                <w:rFonts w:eastAsia="仿宋" w:cs="Times New Roman"/>
                <w:b/>
                <w:sz w:val="24"/>
                <w:szCs w:val="28"/>
              </w:rPr>
            </w:pPr>
          </w:p>
        </w:tc>
        <w:tc>
          <w:tcPr>
            <w:tcW w:w="691" w:type="dxa"/>
            <w:tcBorders>
              <w:top w:val="single" w:color="000000" w:sz="4" w:space="0"/>
              <w:left w:val="single" w:color="000000" w:sz="4" w:space="0"/>
              <w:bottom w:val="single" w:color="000000" w:sz="4" w:space="0"/>
              <w:right w:val="single" w:color="000000" w:sz="4" w:space="0"/>
            </w:tcBorders>
            <w:vAlign w:val="center"/>
          </w:tcPr>
          <w:p w14:paraId="4A74359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20</w:t>
            </w:r>
          </w:p>
        </w:tc>
        <w:tc>
          <w:tcPr>
            <w:tcW w:w="2693" w:type="dxa"/>
            <w:tcBorders>
              <w:top w:val="single" w:color="000000" w:sz="4" w:space="0"/>
              <w:left w:val="single" w:color="000000" w:sz="4" w:space="0"/>
              <w:bottom w:val="single" w:color="000000" w:sz="4" w:space="0"/>
              <w:right w:val="single" w:color="000000" w:sz="4" w:space="0"/>
            </w:tcBorders>
            <w:vAlign w:val="center"/>
          </w:tcPr>
          <w:p w14:paraId="673958E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公司员工参加本所组织的期权业务相关培训的情况</w:t>
            </w:r>
          </w:p>
        </w:tc>
        <w:tc>
          <w:tcPr>
            <w:tcW w:w="1000" w:type="dxa"/>
            <w:tcBorders>
              <w:top w:val="single" w:color="000000" w:sz="4" w:space="0"/>
              <w:left w:val="single" w:color="000000" w:sz="4" w:space="0"/>
              <w:bottom w:val="single" w:color="000000" w:sz="4" w:space="0"/>
              <w:right w:val="single" w:color="000000" w:sz="4" w:space="0"/>
            </w:tcBorders>
            <w:vAlign w:val="center"/>
          </w:tcPr>
          <w:p w14:paraId="1E141E0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查阅记录</w:t>
            </w:r>
          </w:p>
        </w:tc>
        <w:tc>
          <w:tcPr>
            <w:tcW w:w="2203" w:type="dxa"/>
            <w:tcBorders>
              <w:top w:val="single" w:color="000000" w:sz="4" w:space="0"/>
              <w:left w:val="single" w:color="000000" w:sz="4" w:space="0"/>
              <w:bottom w:val="single" w:color="000000" w:sz="4" w:space="0"/>
              <w:right w:val="single" w:color="000000" w:sz="4" w:space="0"/>
            </w:tcBorders>
            <w:vAlign w:val="center"/>
          </w:tcPr>
          <w:p w14:paraId="04D0243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《上海证券交易所股票期权试点投资者适当性管理指引》（以下简称“《适当性指引》”）</w:t>
            </w:r>
          </w:p>
        </w:tc>
        <w:tc>
          <w:tcPr>
            <w:tcW w:w="965" w:type="dxa"/>
            <w:tcBorders>
              <w:top w:val="single" w:color="000000" w:sz="4" w:space="0"/>
              <w:left w:val="single" w:color="000000" w:sz="4" w:space="0"/>
              <w:bottom w:val="single" w:color="000000" w:sz="4" w:space="0"/>
              <w:right w:val="single" w:color="000000" w:sz="4" w:space="0"/>
            </w:tcBorders>
            <w:vAlign w:val="center"/>
          </w:tcPr>
          <w:p w14:paraId="400B3F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A8F2D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tcBorders>
              <w:top w:val="single" w:color="000000" w:sz="4" w:space="0"/>
              <w:left w:val="single" w:color="000000" w:sz="4" w:space="0"/>
              <w:bottom w:val="single" w:color="000000" w:sz="4" w:space="0"/>
              <w:right w:val="single" w:color="000000" w:sz="4" w:space="0"/>
            </w:tcBorders>
            <w:vAlign w:val="center"/>
          </w:tcPr>
          <w:p w14:paraId="31C4C28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466C0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4FAA9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tcBorders>
              <w:top w:val="single" w:color="000000" w:sz="4" w:space="0"/>
              <w:left w:val="single" w:color="000000" w:sz="4" w:space="0"/>
              <w:bottom w:val="single" w:color="000000" w:sz="4" w:space="0"/>
              <w:right w:val="single" w:color="000000" w:sz="4" w:space="0"/>
            </w:tcBorders>
            <w:vAlign w:val="center"/>
          </w:tcPr>
          <w:p w14:paraId="2F4C4337">
            <w:pPr>
              <w:widowControl w:val="0"/>
              <w:snapToGrid w:val="0"/>
              <w:spacing w:line="240" w:lineRule="auto"/>
              <w:ind w:firstLine="0" w:firstLineChars="0"/>
              <w:rPr>
                <w:rFonts w:eastAsia="仿宋" w:cs="Times New Roman"/>
                <w:sz w:val="24"/>
                <w:szCs w:val="28"/>
              </w:rPr>
            </w:pPr>
          </w:p>
        </w:tc>
      </w:tr>
      <w:tr w14:paraId="7FE14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80" w:type="dxa"/>
            <w:vMerge w:val="continue"/>
            <w:tcBorders>
              <w:left w:val="single" w:color="000000" w:sz="4" w:space="0"/>
              <w:bottom w:val="single" w:color="000000" w:sz="4" w:space="0"/>
              <w:right w:val="single" w:color="000000" w:sz="4" w:space="0"/>
            </w:tcBorders>
            <w:vAlign w:val="center"/>
          </w:tcPr>
          <w:p w14:paraId="7F91ABBA">
            <w:pPr>
              <w:widowControl w:val="0"/>
              <w:snapToGrid w:val="0"/>
              <w:spacing w:line="240" w:lineRule="auto"/>
              <w:ind w:firstLine="0" w:firstLineChars="0"/>
              <w:jc w:val="center"/>
              <w:rPr>
                <w:rFonts w:eastAsia="仿宋" w:cs="Times New Roman"/>
                <w:b/>
                <w:sz w:val="24"/>
                <w:szCs w:val="28"/>
              </w:rPr>
            </w:pPr>
          </w:p>
        </w:tc>
        <w:tc>
          <w:tcPr>
            <w:tcW w:w="691" w:type="dxa"/>
            <w:tcBorders>
              <w:top w:val="single" w:color="000000" w:sz="4" w:space="0"/>
              <w:left w:val="single" w:color="000000" w:sz="4" w:space="0"/>
              <w:bottom w:val="single" w:color="000000" w:sz="4" w:space="0"/>
              <w:right w:val="single" w:color="000000" w:sz="4" w:space="0"/>
            </w:tcBorders>
            <w:vAlign w:val="center"/>
          </w:tcPr>
          <w:p w14:paraId="1275F5B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21</w:t>
            </w:r>
          </w:p>
        </w:tc>
        <w:tc>
          <w:tcPr>
            <w:tcW w:w="2693" w:type="dxa"/>
            <w:tcBorders>
              <w:top w:val="single" w:color="000000" w:sz="4" w:space="0"/>
              <w:left w:val="single" w:color="000000" w:sz="4" w:space="0"/>
              <w:bottom w:val="single" w:color="000000" w:sz="4" w:space="0"/>
              <w:right w:val="single" w:color="000000" w:sz="4" w:space="0"/>
            </w:tcBorders>
            <w:vAlign w:val="center"/>
          </w:tcPr>
          <w:p w14:paraId="525FF36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公司员工和客户参加公司组织的期权业务相关培训的情况</w:t>
            </w:r>
          </w:p>
        </w:tc>
        <w:tc>
          <w:tcPr>
            <w:tcW w:w="1000" w:type="dxa"/>
            <w:tcBorders>
              <w:top w:val="single" w:color="000000" w:sz="4" w:space="0"/>
              <w:left w:val="single" w:color="000000" w:sz="4" w:space="0"/>
              <w:bottom w:val="single" w:color="000000" w:sz="4" w:space="0"/>
              <w:right w:val="single" w:color="000000" w:sz="4" w:space="0"/>
            </w:tcBorders>
            <w:vAlign w:val="center"/>
          </w:tcPr>
          <w:p w14:paraId="4609774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查阅记录</w:t>
            </w:r>
          </w:p>
        </w:tc>
        <w:tc>
          <w:tcPr>
            <w:tcW w:w="2203" w:type="dxa"/>
            <w:tcBorders>
              <w:top w:val="single" w:color="000000" w:sz="4" w:space="0"/>
              <w:left w:val="single" w:color="000000" w:sz="4" w:space="0"/>
              <w:bottom w:val="single" w:color="000000" w:sz="4" w:space="0"/>
              <w:right w:val="single" w:color="000000" w:sz="4" w:space="0"/>
            </w:tcBorders>
            <w:vAlign w:val="center"/>
          </w:tcPr>
          <w:p w14:paraId="7432D0B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《适当性指引》</w:t>
            </w:r>
          </w:p>
        </w:tc>
        <w:tc>
          <w:tcPr>
            <w:tcW w:w="965" w:type="dxa"/>
            <w:tcBorders>
              <w:top w:val="single" w:color="000000" w:sz="4" w:space="0"/>
              <w:left w:val="single" w:color="000000" w:sz="4" w:space="0"/>
              <w:bottom w:val="single" w:color="000000" w:sz="4" w:space="0"/>
              <w:right w:val="single" w:color="000000" w:sz="4" w:space="0"/>
            </w:tcBorders>
            <w:vAlign w:val="center"/>
          </w:tcPr>
          <w:p w14:paraId="5C7DCD1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13249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tcBorders>
              <w:top w:val="single" w:color="000000" w:sz="4" w:space="0"/>
              <w:left w:val="single" w:color="000000" w:sz="4" w:space="0"/>
              <w:bottom w:val="single" w:color="000000" w:sz="4" w:space="0"/>
              <w:right w:val="single" w:color="000000" w:sz="4" w:space="0"/>
            </w:tcBorders>
            <w:vAlign w:val="center"/>
          </w:tcPr>
          <w:p w14:paraId="61357C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BFDF24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843CB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tcBorders>
              <w:top w:val="single" w:color="000000" w:sz="4" w:space="0"/>
              <w:left w:val="single" w:color="000000" w:sz="4" w:space="0"/>
              <w:bottom w:val="single" w:color="000000" w:sz="4" w:space="0"/>
              <w:right w:val="single" w:color="000000" w:sz="4" w:space="0"/>
            </w:tcBorders>
            <w:vAlign w:val="center"/>
          </w:tcPr>
          <w:p w14:paraId="1BD9716E">
            <w:pPr>
              <w:widowControl w:val="0"/>
              <w:snapToGrid w:val="0"/>
              <w:spacing w:line="240" w:lineRule="auto"/>
              <w:ind w:firstLine="0" w:firstLineChars="0"/>
              <w:rPr>
                <w:rFonts w:eastAsia="仿宋" w:cs="Times New Roman"/>
                <w:sz w:val="24"/>
                <w:szCs w:val="28"/>
              </w:rPr>
            </w:pPr>
          </w:p>
        </w:tc>
      </w:tr>
    </w:tbl>
    <w:p w14:paraId="6048E89B">
      <w:pPr>
        <w:spacing w:line="400" w:lineRule="exact"/>
        <w:ind w:firstLine="0" w:firstLineChars="0"/>
        <w:rPr>
          <w:rFonts w:hint="eastAsia" w:eastAsia="黑体" w:cs="Times New Roman"/>
          <w:sz w:val="28"/>
          <w:szCs w:val="24"/>
        </w:rPr>
      </w:pPr>
    </w:p>
    <w:p w14:paraId="01E354F1">
      <w:pPr>
        <w:spacing w:line="400" w:lineRule="exact"/>
        <w:ind w:firstLine="0" w:firstLineChars="0"/>
        <w:rPr>
          <w:rFonts w:eastAsia="黑体" w:cs="Times New Roman"/>
          <w:sz w:val="28"/>
          <w:szCs w:val="24"/>
        </w:rPr>
      </w:pPr>
      <w:r>
        <w:rPr>
          <w:rFonts w:hint="eastAsia" w:eastAsia="黑体" w:cs="Times New Roman"/>
          <w:sz w:val="28"/>
          <w:szCs w:val="24"/>
        </w:rPr>
        <w:t>二、功能要求</w:t>
      </w:r>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966"/>
        <w:gridCol w:w="544"/>
        <w:gridCol w:w="2738"/>
        <w:gridCol w:w="1063"/>
        <w:gridCol w:w="1986"/>
        <w:gridCol w:w="730"/>
        <w:gridCol w:w="1222"/>
        <w:gridCol w:w="815"/>
      </w:tblGrid>
      <w:tr w14:paraId="5DE30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966" w:type="dxa"/>
            <w:vMerge w:val="restart"/>
            <w:vAlign w:val="center"/>
          </w:tcPr>
          <w:p w14:paraId="093E4C3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44" w:type="dxa"/>
            <w:vMerge w:val="restart"/>
            <w:vAlign w:val="center"/>
          </w:tcPr>
          <w:p w14:paraId="35FD8E7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738" w:type="dxa"/>
            <w:vMerge w:val="restart"/>
            <w:vAlign w:val="center"/>
          </w:tcPr>
          <w:p w14:paraId="5B4FC24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063" w:type="dxa"/>
            <w:vMerge w:val="restart"/>
            <w:vAlign w:val="center"/>
          </w:tcPr>
          <w:p w14:paraId="1DDC811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1986" w:type="dxa"/>
            <w:vMerge w:val="restart"/>
            <w:vAlign w:val="center"/>
          </w:tcPr>
          <w:p w14:paraId="2F51601E">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2767" w:type="dxa"/>
            <w:gridSpan w:val="3"/>
            <w:vAlign w:val="center"/>
          </w:tcPr>
          <w:p w14:paraId="5FE1360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40DE7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966" w:type="dxa"/>
            <w:vMerge w:val="continue"/>
            <w:vAlign w:val="center"/>
          </w:tcPr>
          <w:p w14:paraId="68A9BE34">
            <w:pPr>
              <w:widowControl w:val="0"/>
              <w:snapToGrid w:val="0"/>
              <w:spacing w:line="240" w:lineRule="auto"/>
              <w:ind w:firstLine="0" w:firstLineChars="0"/>
              <w:jc w:val="center"/>
              <w:rPr>
                <w:rFonts w:eastAsia="仿宋" w:cs="Times New Roman"/>
                <w:b/>
                <w:sz w:val="24"/>
                <w:szCs w:val="28"/>
              </w:rPr>
            </w:pPr>
          </w:p>
        </w:tc>
        <w:tc>
          <w:tcPr>
            <w:tcW w:w="544" w:type="dxa"/>
            <w:vMerge w:val="continue"/>
            <w:vAlign w:val="center"/>
          </w:tcPr>
          <w:p w14:paraId="52F2B7FE">
            <w:pPr>
              <w:widowControl w:val="0"/>
              <w:snapToGrid w:val="0"/>
              <w:spacing w:line="240" w:lineRule="auto"/>
              <w:ind w:firstLine="0" w:firstLineChars="0"/>
              <w:jc w:val="center"/>
              <w:rPr>
                <w:rFonts w:eastAsia="仿宋" w:cs="Times New Roman"/>
                <w:sz w:val="24"/>
                <w:szCs w:val="28"/>
              </w:rPr>
            </w:pPr>
          </w:p>
        </w:tc>
        <w:tc>
          <w:tcPr>
            <w:tcW w:w="2738" w:type="dxa"/>
            <w:vMerge w:val="continue"/>
            <w:vAlign w:val="center"/>
          </w:tcPr>
          <w:p w14:paraId="448962B7">
            <w:pPr>
              <w:widowControl w:val="0"/>
              <w:snapToGrid w:val="0"/>
              <w:spacing w:line="240" w:lineRule="auto"/>
              <w:ind w:firstLine="0" w:firstLineChars="0"/>
              <w:rPr>
                <w:rFonts w:eastAsia="仿宋" w:cs="Times New Roman"/>
                <w:sz w:val="24"/>
                <w:szCs w:val="28"/>
              </w:rPr>
            </w:pPr>
          </w:p>
        </w:tc>
        <w:tc>
          <w:tcPr>
            <w:tcW w:w="1063" w:type="dxa"/>
            <w:vMerge w:val="continue"/>
            <w:vAlign w:val="center"/>
          </w:tcPr>
          <w:p w14:paraId="659CDF58">
            <w:pPr>
              <w:widowControl w:val="0"/>
              <w:snapToGrid w:val="0"/>
              <w:spacing w:line="240" w:lineRule="auto"/>
              <w:ind w:firstLine="0" w:firstLineChars="0"/>
              <w:rPr>
                <w:rFonts w:eastAsia="仿宋" w:cs="Times New Roman"/>
                <w:sz w:val="24"/>
                <w:szCs w:val="28"/>
              </w:rPr>
            </w:pPr>
          </w:p>
        </w:tc>
        <w:tc>
          <w:tcPr>
            <w:tcW w:w="1986" w:type="dxa"/>
            <w:vMerge w:val="continue"/>
            <w:vAlign w:val="center"/>
          </w:tcPr>
          <w:p w14:paraId="4E311D24">
            <w:pPr>
              <w:widowControl w:val="0"/>
              <w:snapToGrid w:val="0"/>
              <w:spacing w:line="240" w:lineRule="auto"/>
              <w:ind w:firstLine="0" w:firstLineChars="0"/>
              <w:rPr>
                <w:rFonts w:eastAsia="仿宋" w:cs="Times New Roman"/>
                <w:sz w:val="24"/>
                <w:szCs w:val="28"/>
              </w:rPr>
            </w:pPr>
          </w:p>
        </w:tc>
        <w:tc>
          <w:tcPr>
            <w:tcW w:w="730" w:type="dxa"/>
            <w:vAlign w:val="center"/>
          </w:tcPr>
          <w:p w14:paraId="4D37D6A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222" w:type="dxa"/>
            <w:vAlign w:val="center"/>
          </w:tcPr>
          <w:p w14:paraId="72339A9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815" w:type="dxa"/>
            <w:vAlign w:val="center"/>
          </w:tcPr>
          <w:p w14:paraId="40BD7FD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6A92A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restart"/>
            <w:vAlign w:val="center"/>
          </w:tcPr>
          <w:p w14:paraId="30F98DF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账户及适当性管理业务</w:t>
            </w:r>
          </w:p>
        </w:tc>
        <w:tc>
          <w:tcPr>
            <w:tcW w:w="544" w:type="dxa"/>
            <w:vAlign w:val="center"/>
          </w:tcPr>
          <w:p w14:paraId="70C8EDE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22</w:t>
            </w:r>
          </w:p>
        </w:tc>
        <w:tc>
          <w:tcPr>
            <w:tcW w:w="2738" w:type="dxa"/>
            <w:vAlign w:val="center"/>
          </w:tcPr>
          <w:p w14:paraId="675BFD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支持投资者评估、准入、分级及动态持续管理功能</w:t>
            </w:r>
          </w:p>
        </w:tc>
        <w:tc>
          <w:tcPr>
            <w:tcW w:w="1063" w:type="dxa"/>
            <w:vAlign w:val="center"/>
          </w:tcPr>
          <w:p w14:paraId="4F06D9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4CA23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《适当性指引》、《经纪业务指南》</w:t>
            </w:r>
          </w:p>
        </w:tc>
        <w:tc>
          <w:tcPr>
            <w:tcW w:w="730" w:type="dxa"/>
            <w:vAlign w:val="center"/>
          </w:tcPr>
          <w:p w14:paraId="69B554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C73334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A83186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24C6A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89CDD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4DA022F">
            <w:pPr>
              <w:widowControl w:val="0"/>
              <w:snapToGrid w:val="0"/>
              <w:spacing w:line="240" w:lineRule="auto"/>
              <w:ind w:firstLine="0" w:firstLineChars="0"/>
              <w:rPr>
                <w:rFonts w:eastAsia="仿宋" w:cs="Times New Roman"/>
                <w:sz w:val="24"/>
                <w:szCs w:val="28"/>
              </w:rPr>
            </w:pPr>
          </w:p>
        </w:tc>
      </w:tr>
      <w:tr w14:paraId="47B70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905" w:hRule="atLeast"/>
          <w:jc w:val="center"/>
        </w:trPr>
        <w:tc>
          <w:tcPr>
            <w:tcW w:w="966" w:type="dxa"/>
            <w:vMerge w:val="continue"/>
            <w:vAlign w:val="center"/>
          </w:tcPr>
          <w:p w14:paraId="18400DA7">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6C5887BF">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23</w:t>
            </w:r>
          </w:p>
        </w:tc>
        <w:tc>
          <w:tcPr>
            <w:tcW w:w="2738" w:type="dxa"/>
            <w:vAlign w:val="center"/>
          </w:tcPr>
          <w:p w14:paraId="1B5CA08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开户：实名制校验、风险教育、风险揭示等环节；</w:t>
            </w:r>
            <w:r>
              <w:rPr>
                <w:rFonts w:eastAsia="仿宋" w:cs="Times New Roman"/>
                <w:sz w:val="24"/>
                <w:szCs w:val="28"/>
              </w:rPr>
              <w:t>账户管理、客户交易参数（</w:t>
            </w:r>
            <w:r>
              <w:rPr>
                <w:rFonts w:hint="eastAsia" w:eastAsia="仿宋" w:cs="Times New Roman"/>
                <w:sz w:val="24"/>
                <w:szCs w:val="28"/>
              </w:rPr>
              <w:t>如</w:t>
            </w:r>
            <w:r>
              <w:rPr>
                <w:rFonts w:eastAsia="仿宋" w:cs="Times New Roman"/>
                <w:sz w:val="24"/>
                <w:szCs w:val="28"/>
              </w:rPr>
              <w:t>限仓限购额度等）</w:t>
            </w:r>
            <w:r>
              <w:rPr>
                <w:rFonts w:hint="eastAsia" w:eastAsia="仿宋" w:cs="Times New Roman"/>
                <w:sz w:val="24"/>
                <w:szCs w:val="28"/>
              </w:rPr>
              <w:t>设置</w:t>
            </w:r>
          </w:p>
        </w:tc>
        <w:tc>
          <w:tcPr>
            <w:tcW w:w="1063" w:type="dxa"/>
            <w:vAlign w:val="center"/>
          </w:tcPr>
          <w:p w14:paraId="4B8805E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3C586A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《适当性指引》</w:t>
            </w:r>
          </w:p>
        </w:tc>
        <w:tc>
          <w:tcPr>
            <w:tcW w:w="730" w:type="dxa"/>
            <w:vAlign w:val="center"/>
          </w:tcPr>
          <w:p w14:paraId="270BF74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119E9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2A2898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2770F3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C8F014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52FD97A">
            <w:pPr>
              <w:widowControl w:val="0"/>
              <w:snapToGrid w:val="0"/>
              <w:spacing w:line="240" w:lineRule="auto"/>
              <w:ind w:firstLine="0" w:firstLineChars="0"/>
              <w:rPr>
                <w:rFonts w:eastAsia="仿宋" w:cs="Times New Roman"/>
                <w:sz w:val="24"/>
                <w:szCs w:val="28"/>
              </w:rPr>
            </w:pPr>
          </w:p>
        </w:tc>
      </w:tr>
      <w:tr w14:paraId="13C0A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373" w:hRule="atLeast"/>
          <w:jc w:val="center"/>
        </w:trPr>
        <w:tc>
          <w:tcPr>
            <w:tcW w:w="966" w:type="dxa"/>
            <w:vMerge w:val="continue"/>
            <w:vAlign w:val="center"/>
          </w:tcPr>
          <w:p w14:paraId="537C3776">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5F68989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w:t>
            </w:r>
            <w:r>
              <w:rPr>
                <w:rFonts w:eastAsia="仿宋" w:cs="Times New Roman"/>
                <w:sz w:val="24"/>
                <w:szCs w:val="28"/>
              </w:rPr>
              <w:t>4</w:t>
            </w:r>
          </w:p>
        </w:tc>
        <w:tc>
          <w:tcPr>
            <w:tcW w:w="2738" w:type="dxa"/>
            <w:vAlign w:val="center"/>
          </w:tcPr>
          <w:p w14:paraId="4AB384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销户</w:t>
            </w:r>
            <w:r>
              <w:rPr>
                <w:rFonts w:eastAsia="仿宋" w:cs="Times New Roman"/>
                <w:sz w:val="24"/>
                <w:szCs w:val="28"/>
              </w:rPr>
              <w:t>：</w:t>
            </w:r>
            <w:r>
              <w:rPr>
                <w:rFonts w:hint="eastAsia" w:eastAsia="仿宋" w:cs="Times New Roman"/>
                <w:sz w:val="24"/>
                <w:szCs w:val="28"/>
              </w:rPr>
              <w:t>现货撤销指定交易、衍生品资金账户及合约账户销户的前端控制（包括校验撤销指定或衍生品资金账户、合约账户销户时是否存在未了结合约）</w:t>
            </w:r>
          </w:p>
        </w:tc>
        <w:tc>
          <w:tcPr>
            <w:tcW w:w="1063" w:type="dxa"/>
            <w:vAlign w:val="center"/>
          </w:tcPr>
          <w:p w14:paraId="63E8FE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7C779E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1410606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34FBA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34B71F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04A1F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6AA63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31AEA36F">
            <w:pPr>
              <w:widowControl w:val="0"/>
              <w:snapToGrid w:val="0"/>
              <w:spacing w:line="240" w:lineRule="auto"/>
              <w:ind w:firstLine="0" w:firstLineChars="0"/>
              <w:rPr>
                <w:rFonts w:eastAsia="仿宋" w:cs="Times New Roman"/>
                <w:sz w:val="24"/>
                <w:szCs w:val="28"/>
              </w:rPr>
            </w:pPr>
          </w:p>
        </w:tc>
      </w:tr>
      <w:tr w14:paraId="707C8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609DDB56">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22F45CA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25</w:t>
            </w:r>
          </w:p>
        </w:tc>
        <w:tc>
          <w:tcPr>
            <w:tcW w:w="2738" w:type="dxa"/>
            <w:vAlign w:val="center"/>
          </w:tcPr>
          <w:p w14:paraId="1392D6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支持客户衍生品资金账户与银行账户签约及解约</w:t>
            </w:r>
          </w:p>
        </w:tc>
        <w:tc>
          <w:tcPr>
            <w:tcW w:w="1063" w:type="dxa"/>
            <w:vAlign w:val="center"/>
          </w:tcPr>
          <w:p w14:paraId="034434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A935CD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325CCB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CF3A9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AC4E0B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DEE2A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4E3E5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35DCBE47">
            <w:pPr>
              <w:widowControl w:val="0"/>
              <w:snapToGrid w:val="0"/>
              <w:spacing w:line="240" w:lineRule="auto"/>
              <w:ind w:firstLine="0" w:firstLineChars="0"/>
              <w:rPr>
                <w:rFonts w:eastAsia="仿宋" w:cs="Times New Roman"/>
                <w:sz w:val="24"/>
                <w:szCs w:val="28"/>
              </w:rPr>
            </w:pPr>
          </w:p>
        </w:tc>
      </w:tr>
      <w:tr w14:paraId="6852C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7370F3EB">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F4A70C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26</w:t>
            </w:r>
          </w:p>
        </w:tc>
        <w:tc>
          <w:tcPr>
            <w:tcW w:w="2738" w:type="dxa"/>
            <w:vAlign w:val="center"/>
          </w:tcPr>
          <w:p w14:paraId="75D5B6F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支持客户银衍转账</w:t>
            </w:r>
          </w:p>
        </w:tc>
        <w:tc>
          <w:tcPr>
            <w:tcW w:w="1063" w:type="dxa"/>
            <w:vAlign w:val="center"/>
          </w:tcPr>
          <w:p w14:paraId="22D8394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C1A51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78AA0DC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EDEAB7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2F649B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1B0F16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C28D8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60E294A">
            <w:pPr>
              <w:widowControl w:val="0"/>
              <w:snapToGrid w:val="0"/>
              <w:spacing w:line="240" w:lineRule="auto"/>
              <w:ind w:firstLine="0" w:firstLineChars="0"/>
              <w:rPr>
                <w:rFonts w:eastAsia="仿宋" w:cs="Times New Roman"/>
                <w:sz w:val="24"/>
                <w:szCs w:val="28"/>
              </w:rPr>
            </w:pPr>
          </w:p>
        </w:tc>
      </w:tr>
      <w:tr w14:paraId="1D86E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4A03CCBA">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0ED1DFE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27</w:t>
            </w:r>
          </w:p>
        </w:tc>
        <w:tc>
          <w:tcPr>
            <w:tcW w:w="2738" w:type="dxa"/>
            <w:vAlign w:val="center"/>
          </w:tcPr>
          <w:p w14:paraId="24875CB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具有投资者影像档案管理功能</w:t>
            </w:r>
          </w:p>
        </w:tc>
        <w:tc>
          <w:tcPr>
            <w:tcW w:w="1063" w:type="dxa"/>
            <w:vAlign w:val="center"/>
          </w:tcPr>
          <w:p w14:paraId="77FC8A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2E474B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001690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CA23A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769C451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414B4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96F47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D19455E">
            <w:pPr>
              <w:widowControl w:val="0"/>
              <w:snapToGrid w:val="0"/>
              <w:spacing w:line="240" w:lineRule="auto"/>
              <w:ind w:firstLine="0" w:firstLineChars="0"/>
              <w:rPr>
                <w:rFonts w:eastAsia="仿宋" w:cs="Times New Roman"/>
                <w:sz w:val="24"/>
                <w:szCs w:val="28"/>
              </w:rPr>
            </w:pPr>
          </w:p>
        </w:tc>
      </w:tr>
      <w:tr w14:paraId="3AAEB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487" w:hRule="atLeast"/>
          <w:jc w:val="center"/>
        </w:trPr>
        <w:tc>
          <w:tcPr>
            <w:tcW w:w="966" w:type="dxa"/>
            <w:vMerge w:val="restart"/>
            <w:vAlign w:val="center"/>
          </w:tcPr>
          <w:p w14:paraId="5BC2A3A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交易终端</w:t>
            </w:r>
          </w:p>
        </w:tc>
        <w:tc>
          <w:tcPr>
            <w:tcW w:w="544" w:type="dxa"/>
            <w:vAlign w:val="center"/>
          </w:tcPr>
          <w:p w14:paraId="550DE26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28</w:t>
            </w:r>
          </w:p>
        </w:tc>
        <w:tc>
          <w:tcPr>
            <w:tcW w:w="2738" w:type="dxa"/>
            <w:vAlign w:val="center"/>
          </w:tcPr>
          <w:p w14:paraId="10B3C9B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应支持行情“T”（对同一行权价左右两边显示认购、认沽报价与成交情况）型显示</w:t>
            </w:r>
          </w:p>
        </w:tc>
        <w:tc>
          <w:tcPr>
            <w:tcW w:w="1063" w:type="dxa"/>
            <w:vAlign w:val="center"/>
          </w:tcPr>
          <w:p w14:paraId="5C4D1B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1532A6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5320011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DD5EF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33E96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3156CD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7FD11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29CF6A3">
            <w:pPr>
              <w:widowControl w:val="0"/>
              <w:snapToGrid w:val="0"/>
              <w:spacing w:line="240" w:lineRule="auto"/>
              <w:ind w:firstLine="0" w:firstLineChars="0"/>
              <w:rPr>
                <w:rFonts w:eastAsia="仿宋" w:cs="Times New Roman"/>
                <w:sz w:val="24"/>
                <w:szCs w:val="28"/>
              </w:rPr>
            </w:pPr>
          </w:p>
        </w:tc>
      </w:tr>
      <w:tr w14:paraId="20AA3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5C155831">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39E53AC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29</w:t>
            </w:r>
          </w:p>
        </w:tc>
        <w:tc>
          <w:tcPr>
            <w:tcW w:w="2738" w:type="dxa"/>
            <w:vAlign w:val="center"/>
          </w:tcPr>
          <w:p w14:paraId="2A0D8CA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应支持行权、除权、新挂</w:t>
            </w:r>
            <w:r>
              <w:rPr>
                <w:rFonts w:eastAsia="仿宋" w:cs="Times New Roman"/>
                <w:sz w:val="24"/>
                <w:szCs w:val="28"/>
              </w:rPr>
              <w:t>、摘牌、</w:t>
            </w:r>
            <w:r>
              <w:rPr>
                <w:rFonts w:hint="eastAsia" w:eastAsia="仿宋" w:cs="Times New Roman"/>
                <w:sz w:val="24"/>
                <w:szCs w:val="28"/>
              </w:rPr>
              <w:t>停牌等资讯信息的展示</w:t>
            </w:r>
          </w:p>
        </w:tc>
        <w:tc>
          <w:tcPr>
            <w:tcW w:w="1063" w:type="dxa"/>
            <w:vAlign w:val="center"/>
          </w:tcPr>
          <w:p w14:paraId="64D90B9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759EEA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6C8CF1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609CB6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70CD3C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C9EC33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1B32E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11FC8C97">
            <w:pPr>
              <w:widowControl w:val="0"/>
              <w:snapToGrid w:val="0"/>
              <w:spacing w:line="240" w:lineRule="auto"/>
              <w:ind w:firstLine="0" w:firstLineChars="0"/>
              <w:rPr>
                <w:rFonts w:eastAsia="仿宋" w:cs="Times New Roman"/>
                <w:sz w:val="24"/>
                <w:szCs w:val="28"/>
              </w:rPr>
            </w:pPr>
          </w:p>
        </w:tc>
      </w:tr>
      <w:tr w14:paraId="1220B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980" w:hRule="atLeast"/>
          <w:jc w:val="center"/>
        </w:trPr>
        <w:tc>
          <w:tcPr>
            <w:tcW w:w="966" w:type="dxa"/>
            <w:vMerge w:val="continue"/>
            <w:vAlign w:val="center"/>
          </w:tcPr>
          <w:p w14:paraId="3DA52C30">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049CFD1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30</w:t>
            </w:r>
          </w:p>
        </w:tc>
        <w:tc>
          <w:tcPr>
            <w:tcW w:w="2738" w:type="dxa"/>
            <w:vAlign w:val="center"/>
          </w:tcPr>
          <w:p w14:paraId="15A612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支持客户通过依次选择标的、期权类型、到期月份、行权价格等确定交易合约，或通过合约编码、合约交易代码进行交易委托</w:t>
            </w:r>
          </w:p>
        </w:tc>
        <w:tc>
          <w:tcPr>
            <w:tcW w:w="1063" w:type="dxa"/>
            <w:vAlign w:val="center"/>
          </w:tcPr>
          <w:p w14:paraId="1F0F6D7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2DE83C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416266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7024A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2DEF59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23CD1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2480B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20EBD395">
            <w:pPr>
              <w:widowControl w:val="0"/>
              <w:snapToGrid w:val="0"/>
              <w:spacing w:line="240" w:lineRule="auto"/>
              <w:ind w:firstLine="0" w:firstLineChars="0"/>
              <w:rPr>
                <w:rFonts w:eastAsia="仿宋" w:cs="Times New Roman"/>
                <w:sz w:val="24"/>
                <w:szCs w:val="28"/>
              </w:rPr>
            </w:pPr>
          </w:p>
        </w:tc>
      </w:tr>
      <w:tr w14:paraId="4B376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955" w:hRule="atLeast"/>
          <w:jc w:val="center"/>
        </w:trPr>
        <w:tc>
          <w:tcPr>
            <w:tcW w:w="966" w:type="dxa"/>
            <w:vMerge w:val="continue"/>
            <w:vAlign w:val="center"/>
          </w:tcPr>
          <w:p w14:paraId="0B8C70D7">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25D19AF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31</w:t>
            </w:r>
          </w:p>
        </w:tc>
        <w:tc>
          <w:tcPr>
            <w:tcW w:w="2738" w:type="dxa"/>
            <w:vAlign w:val="center"/>
          </w:tcPr>
          <w:p w14:paraId="753375D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支持买卖指令，包括买入开仓/买入平仓/卖出开仓/卖出平仓/备兑开仓/备兑平仓/撤单，支持期权行权现货交收</w:t>
            </w:r>
          </w:p>
        </w:tc>
        <w:tc>
          <w:tcPr>
            <w:tcW w:w="1063" w:type="dxa"/>
            <w:vAlign w:val="center"/>
          </w:tcPr>
          <w:p w14:paraId="523C66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723E2BF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《上海证券交易所股票期权试点交易规则》</w:t>
            </w:r>
          </w:p>
        </w:tc>
        <w:tc>
          <w:tcPr>
            <w:tcW w:w="730" w:type="dxa"/>
            <w:vAlign w:val="center"/>
          </w:tcPr>
          <w:p w14:paraId="56296B4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E04BC9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6C398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8C85B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96F69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23520C9">
            <w:pPr>
              <w:widowControl w:val="0"/>
              <w:snapToGrid w:val="0"/>
              <w:spacing w:line="240" w:lineRule="auto"/>
              <w:ind w:firstLine="0" w:firstLineChars="0"/>
              <w:rPr>
                <w:rFonts w:eastAsia="仿宋" w:cs="Times New Roman"/>
                <w:sz w:val="24"/>
                <w:szCs w:val="28"/>
              </w:rPr>
            </w:pPr>
          </w:p>
        </w:tc>
      </w:tr>
      <w:tr w14:paraId="49621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562" w:hRule="atLeast"/>
          <w:jc w:val="center"/>
        </w:trPr>
        <w:tc>
          <w:tcPr>
            <w:tcW w:w="966" w:type="dxa"/>
            <w:vMerge w:val="continue"/>
            <w:vAlign w:val="center"/>
          </w:tcPr>
          <w:p w14:paraId="28A36A26">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202C07F4">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r>
              <w:rPr>
                <w:rFonts w:eastAsia="仿宋" w:cs="Times New Roman"/>
                <w:sz w:val="24"/>
                <w:szCs w:val="28"/>
              </w:rPr>
              <w:t>2</w:t>
            </w:r>
          </w:p>
        </w:tc>
        <w:tc>
          <w:tcPr>
            <w:tcW w:w="2738" w:type="dxa"/>
            <w:vAlign w:val="center"/>
          </w:tcPr>
          <w:p w14:paraId="5439CE7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支持交易订单，包括限价/市价剩余转限价/市价剩余撤销/全额即时限价申报/全额即时市价申报</w:t>
            </w:r>
          </w:p>
        </w:tc>
        <w:tc>
          <w:tcPr>
            <w:tcW w:w="1063" w:type="dxa"/>
            <w:vAlign w:val="center"/>
          </w:tcPr>
          <w:p w14:paraId="48B1A4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20998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《上海证券交易所股票期权试点交易规则》</w:t>
            </w:r>
          </w:p>
        </w:tc>
        <w:tc>
          <w:tcPr>
            <w:tcW w:w="730" w:type="dxa"/>
            <w:vAlign w:val="center"/>
          </w:tcPr>
          <w:p w14:paraId="2528E55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CF3E5D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23C661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C9BE0C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30B588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551421C">
            <w:pPr>
              <w:widowControl w:val="0"/>
              <w:snapToGrid w:val="0"/>
              <w:spacing w:line="240" w:lineRule="auto"/>
              <w:ind w:firstLine="0" w:firstLineChars="0"/>
              <w:rPr>
                <w:rFonts w:eastAsia="仿宋" w:cs="Times New Roman"/>
                <w:sz w:val="24"/>
                <w:szCs w:val="28"/>
              </w:rPr>
            </w:pPr>
          </w:p>
        </w:tc>
      </w:tr>
      <w:tr w14:paraId="39A06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980" w:hRule="atLeast"/>
          <w:jc w:val="center"/>
        </w:trPr>
        <w:tc>
          <w:tcPr>
            <w:tcW w:w="966" w:type="dxa"/>
            <w:vMerge w:val="continue"/>
            <w:vAlign w:val="center"/>
          </w:tcPr>
          <w:p w14:paraId="52F49729">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0C57E0B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r>
              <w:rPr>
                <w:rFonts w:eastAsia="仿宋" w:cs="Times New Roman"/>
                <w:sz w:val="24"/>
                <w:szCs w:val="28"/>
              </w:rPr>
              <w:t>3</w:t>
            </w:r>
          </w:p>
        </w:tc>
        <w:tc>
          <w:tcPr>
            <w:tcW w:w="2738" w:type="dxa"/>
            <w:vAlign w:val="center"/>
          </w:tcPr>
          <w:p w14:paraId="225426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支持非交易指令，包括证券锁定与解锁指令/行权指令（包括行权</w:t>
            </w:r>
            <w:r>
              <w:rPr>
                <w:rFonts w:eastAsia="仿宋" w:cs="Times New Roman"/>
                <w:sz w:val="24"/>
                <w:szCs w:val="28"/>
              </w:rPr>
              <w:t>指令合并申报</w:t>
            </w:r>
            <w:r>
              <w:rPr>
                <w:rFonts w:hint="eastAsia" w:eastAsia="仿宋" w:cs="Times New Roman"/>
                <w:sz w:val="24"/>
                <w:szCs w:val="28"/>
              </w:rPr>
              <w:t>，</w:t>
            </w:r>
            <w:r>
              <w:rPr>
                <w:rFonts w:eastAsia="仿宋" w:cs="Times New Roman"/>
                <w:sz w:val="24"/>
                <w:szCs w:val="28"/>
              </w:rPr>
              <w:t>如有</w:t>
            </w:r>
            <w:r>
              <w:rPr>
                <w:rFonts w:hint="eastAsia" w:eastAsia="仿宋" w:cs="Times New Roman"/>
                <w:sz w:val="24"/>
                <w:szCs w:val="28"/>
              </w:rPr>
              <w:t>）/撤销行权指令</w:t>
            </w:r>
          </w:p>
        </w:tc>
        <w:tc>
          <w:tcPr>
            <w:tcW w:w="1063" w:type="dxa"/>
            <w:vAlign w:val="center"/>
          </w:tcPr>
          <w:p w14:paraId="1166C55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2EAC7F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2A95F2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584E65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685D9F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807DF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11CCE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9388DAF">
            <w:pPr>
              <w:widowControl w:val="0"/>
              <w:snapToGrid w:val="0"/>
              <w:spacing w:line="240" w:lineRule="auto"/>
              <w:ind w:firstLine="0" w:firstLineChars="0"/>
              <w:rPr>
                <w:rFonts w:eastAsia="仿宋" w:cs="Times New Roman"/>
                <w:sz w:val="24"/>
                <w:szCs w:val="28"/>
              </w:rPr>
            </w:pPr>
          </w:p>
        </w:tc>
      </w:tr>
      <w:tr w14:paraId="67BEE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58F04A07">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1554D3D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34</w:t>
            </w:r>
          </w:p>
        </w:tc>
        <w:tc>
          <w:tcPr>
            <w:tcW w:w="2738" w:type="dxa"/>
            <w:vAlign w:val="center"/>
          </w:tcPr>
          <w:p w14:paraId="724FF5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合约调整前提醒（提前5日）</w:t>
            </w:r>
          </w:p>
        </w:tc>
        <w:tc>
          <w:tcPr>
            <w:tcW w:w="1063" w:type="dxa"/>
            <w:vAlign w:val="center"/>
          </w:tcPr>
          <w:p w14:paraId="008985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36C3A4B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0A91CB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6484BA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E8B7E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8702CB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26F45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1DBC91C">
            <w:pPr>
              <w:widowControl w:val="0"/>
              <w:snapToGrid w:val="0"/>
              <w:spacing w:line="240" w:lineRule="auto"/>
              <w:ind w:firstLine="0" w:firstLineChars="0"/>
              <w:rPr>
                <w:rFonts w:eastAsia="仿宋" w:cs="Times New Roman"/>
                <w:sz w:val="24"/>
                <w:szCs w:val="28"/>
              </w:rPr>
            </w:pPr>
          </w:p>
        </w:tc>
      </w:tr>
      <w:tr w14:paraId="2DC5F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220BED2D">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3E96995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35</w:t>
            </w:r>
          </w:p>
        </w:tc>
        <w:tc>
          <w:tcPr>
            <w:tcW w:w="2738" w:type="dxa"/>
            <w:vAlign w:val="center"/>
          </w:tcPr>
          <w:p w14:paraId="328639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备兑持仓需补足数量提醒，</w:t>
            </w:r>
            <w:r>
              <w:rPr>
                <w:rFonts w:eastAsia="仿宋" w:cs="Times New Roman"/>
                <w:sz w:val="24"/>
                <w:szCs w:val="28"/>
              </w:rPr>
              <w:t>包括因除权除息以及行权交收</w:t>
            </w:r>
            <w:r>
              <w:rPr>
                <w:rFonts w:hint="eastAsia" w:eastAsia="仿宋" w:cs="Times New Roman"/>
                <w:sz w:val="24"/>
                <w:szCs w:val="28"/>
              </w:rPr>
              <w:t>等</w:t>
            </w:r>
            <w:r>
              <w:rPr>
                <w:rFonts w:eastAsia="仿宋" w:cs="Times New Roman"/>
                <w:sz w:val="24"/>
                <w:szCs w:val="28"/>
              </w:rPr>
              <w:t>情况</w:t>
            </w:r>
            <w:r>
              <w:rPr>
                <w:rFonts w:hint="eastAsia" w:eastAsia="仿宋" w:cs="Times New Roman"/>
                <w:sz w:val="24"/>
                <w:szCs w:val="28"/>
              </w:rPr>
              <w:t>导致</w:t>
            </w:r>
          </w:p>
        </w:tc>
        <w:tc>
          <w:tcPr>
            <w:tcW w:w="1063" w:type="dxa"/>
            <w:vAlign w:val="center"/>
          </w:tcPr>
          <w:p w14:paraId="624E92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7B5091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5CD9BF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896224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22AD84B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5C822A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9E790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3903173">
            <w:pPr>
              <w:widowControl w:val="0"/>
              <w:snapToGrid w:val="0"/>
              <w:spacing w:line="240" w:lineRule="auto"/>
              <w:ind w:firstLine="0" w:firstLineChars="0"/>
              <w:rPr>
                <w:rFonts w:eastAsia="仿宋" w:cs="Times New Roman"/>
                <w:sz w:val="24"/>
                <w:szCs w:val="28"/>
              </w:rPr>
            </w:pPr>
          </w:p>
        </w:tc>
      </w:tr>
      <w:tr w14:paraId="7ECC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1F1D1056">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39086C7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36</w:t>
            </w:r>
          </w:p>
        </w:tc>
        <w:tc>
          <w:tcPr>
            <w:tcW w:w="2738" w:type="dxa"/>
            <w:vAlign w:val="center"/>
          </w:tcPr>
          <w:p w14:paraId="1336C8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持有快到期或到期合约的临近行权提醒，尤其是实值期权行权提醒</w:t>
            </w:r>
          </w:p>
        </w:tc>
        <w:tc>
          <w:tcPr>
            <w:tcW w:w="1063" w:type="dxa"/>
            <w:vAlign w:val="center"/>
          </w:tcPr>
          <w:p w14:paraId="37B8E4E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4B331C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02E4FA5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5644D2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3F05C1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70A7C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85A34E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7AB398F">
            <w:pPr>
              <w:widowControl w:val="0"/>
              <w:snapToGrid w:val="0"/>
              <w:spacing w:line="240" w:lineRule="auto"/>
              <w:ind w:firstLine="0" w:firstLineChars="0"/>
              <w:rPr>
                <w:rFonts w:eastAsia="仿宋" w:cs="Times New Roman"/>
                <w:sz w:val="24"/>
                <w:szCs w:val="28"/>
              </w:rPr>
            </w:pPr>
          </w:p>
        </w:tc>
      </w:tr>
      <w:tr w14:paraId="412BE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745CCFBA">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279A150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37</w:t>
            </w:r>
          </w:p>
        </w:tc>
        <w:tc>
          <w:tcPr>
            <w:tcW w:w="2738" w:type="dxa"/>
            <w:vAlign w:val="center"/>
          </w:tcPr>
          <w:p w14:paraId="5D2543C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被指派行权提醒</w:t>
            </w:r>
          </w:p>
        </w:tc>
        <w:tc>
          <w:tcPr>
            <w:tcW w:w="1063" w:type="dxa"/>
            <w:vAlign w:val="center"/>
          </w:tcPr>
          <w:p w14:paraId="79A6C0E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0D4419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0890D9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7FC4C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518EF0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89625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33115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D062E53">
            <w:pPr>
              <w:widowControl w:val="0"/>
              <w:snapToGrid w:val="0"/>
              <w:spacing w:line="240" w:lineRule="auto"/>
              <w:ind w:firstLine="0" w:firstLineChars="0"/>
              <w:rPr>
                <w:rFonts w:eastAsia="仿宋" w:cs="Times New Roman"/>
                <w:sz w:val="24"/>
                <w:szCs w:val="28"/>
              </w:rPr>
            </w:pPr>
          </w:p>
        </w:tc>
      </w:tr>
      <w:tr w14:paraId="318FA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4CDE0069">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7BC2886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38</w:t>
            </w:r>
          </w:p>
        </w:tc>
        <w:tc>
          <w:tcPr>
            <w:tcW w:w="2738" w:type="dxa"/>
            <w:vAlign w:val="center"/>
          </w:tcPr>
          <w:p w14:paraId="70F86DA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开仓委托时提醒：</w:t>
            </w:r>
            <w:r>
              <w:rPr>
                <w:rFonts w:eastAsia="仿宋" w:cs="Times New Roman"/>
                <w:sz w:val="24"/>
                <w:szCs w:val="28"/>
              </w:rPr>
              <w:t>包括</w:t>
            </w:r>
            <w:r>
              <w:rPr>
                <w:rFonts w:hint="eastAsia" w:eastAsia="仿宋" w:cs="Times New Roman"/>
                <w:sz w:val="24"/>
                <w:szCs w:val="28"/>
              </w:rPr>
              <w:t>严重虚值期权、临近到期期权、非标准</w:t>
            </w:r>
            <w:r>
              <w:rPr>
                <w:rFonts w:eastAsia="仿宋" w:cs="Times New Roman"/>
                <w:sz w:val="24"/>
                <w:szCs w:val="28"/>
              </w:rPr>
              <w:t>合约</w:t>
            </w:r>
            <w:r>
              <w:rPr>
                <w:rFonts w:hint="eastAsia" w:eastAsia="仿宋" w:cs="Times New Roman"/>
                <w:sz w:val="24"/>
                <w:szCs w:val="28"/>
              </w:rPr>
              <w:t>期权</w:t>
            </w:r>
          </w:p>
        </w:tc>
        <w:tc>
          <w:tcPr>
            <w:tcW w:w="1063" w:type="dxa"/>
            <w:vAlign w:val="center"/>
          </w:tcPr>
          <w:p w14:paraId="05927D9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FE934C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109A29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5334B5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BDDB97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42116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46041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1BC00BC1">
            <w:pPr>
              <w:widowControl w:val="0"/>
              <w:snapToGrid w:val="0"/>
              <w:spacing w:line="240" w:lineRule="auto"/>
              <w:ind w:firstLine="0" w:firstLineChars="0"/>
              <w:rPr>
                <w:rFonts w:eastAsia="仿宋" w:cs="Times New Roman"/>
                <w:sz w:val="24"/>
                <w:szCs w:val="28"/>
              </w:rPr>
            </w:pPr>
          </w:p>
        </w:tc>
      </w:tr>
      <w:tr w14:paraId="2D76B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6F25689E">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092B6CFD">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r>
              <w:rPr>
                <w:rFonts w:eastAsia="仿宋" w:cs="Times New Roman"/>
                <w:sz w:val="24"/>
                <w:szCs w:val="28"/>
              </w:rPr>
              <w:t>9</w:t>
            </w:r>
          </w:p>
        </w:tc>
        <w:tc>
          <w:tcPr>
            <w:tcW w:w="2738" w:type="dxa"/>
            <w:vAlign w:val="center"/>
          </w:tcPr>
          <w:p w14:paraId="6200D57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卖出平仓</w:t>
            </w:r>
            <w:r>
              <w:rPr>
                <w:rFonts w:eastAsia="仿宋" w:cs="Times New Roman"/>
                <w:sz w:val="24"/>
                <w:szCs w:val="28"/>
              </w:rPr>
              <w:t>提醒</w:t>
            </w:r>
            <w:r>
              <w:rPr>
                <w:rFonts w:hint="eastAsia" w:eastAsia="仿宋" w:cs="Times New Roman"/>
                <w:sz w:val="24"/>
                <w:szCs w:val="28"/>
              </w:rPr>
              <w:t>：出现卖出平仓所得无法覆盖交易成本的情况应进行提醒</w:t>
            </w:r>
          </w:p>
        </w:tc>
        <w:tc>
          <w:tcPr>
            <w:tcW w:w="1063" w:type="dxa"/>
            <w:vAlign w:val="center"/>
          </w:tcPr>
          <w:p w14:paraId="550B035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228CD04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0F1F87F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7B0DE5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74E528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2C0AAE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4686F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58B5632">
            <w:pPr>
              <w:widowControl w:val="0"/>
              <w:snapToGrid w:val="0"/>
              <w:spacing w:line="240" w:lineRule="auto"/>
              <w:ind w:firstLine="0" w:firstLineChars="0"/>
              <w:rPr>
                <w:rFonts w:eastAsia="仿宋" w:cs="Times New Roman"/>
                <w:sz w:val="24"/>
                <w:szCs w:val="28"/>
              </w:rPr>
            </w:pPr>
          </w:p>
        </w:tc>
      </w:tr>
      <w:tr w14:paraId="06A9B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3EB238FE">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56414D0D">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40</w:t>
            </w:r>
          </w:p>
        </w:tc>
        <w:tc>
          <w:tcPr>
            <w:tcW w:w="2738" w:type="dxa"/>
            <w:vAlign w:val="center"/>
          </w:tcPr>
          <w:p w14:paraId="2235D1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支持客户资产对账单通知功能</w:t>
            </w:r>
          </w:p>
        </w:tc>
        <w:tc>
          <w:tcPr>
            <w:tcW w:w="1063" w:type="dxa"/>
            <w:vAlign w:val="center"/>
          </w:tcPr>
          <w:p w14:paraId="05AC42A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3C86EBC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1F0FC74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B5B9E3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44D0A3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3222B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0EDDF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096723F">
            <w:pPr>
              <w:widowControl w:val="0"/>
              <w:snapToGrid w:val="0"/>
              <w:spacing w:line="240" w:lineRule="auto"/>
              <w:ind w:firstLine="0" w:firstLineChars="0"/>
              <w:rPr>
                <w:rFonts w:eastAsia="仿宋" w:cs="Times New Roman"/>
                <w:sz w:val="24"/>
                <w:szCs w:val="28"/>
              </w:rPr>
            </w:pPr>
          </w:p>
        </w:tc>
      </w:tr>
      <w:tr w14:paraId="2E5E6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820" w:hRule="atLeast"/>
          <w:jc w:val="center"/>
        </w:trPr>
        <w:tc>
          <w:tcPr>
            <w:tcW w:w="966" w:type="dxa"/>
            <w:vMerge w:val="restart"/>
            <w:vAlign w:val="center"/>
          </w:tcPr>
          <w:p w14:paraId="373698D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期权柜台</w:t>
            </w:r>
            <w:r>
              <w:rPr>
                <w:rFonts w:eastAsia="仿宋" w:cs="Times New Roman"/>
                <w:b/>
                <w:sz w:val="24"/>
                <w:szCs w:val="28"/>
              </w:rPr>
              <w:t>系统</w:t>
            </w:r>
          </w:p>
        </w:tc>
        <w:tc>
          <w:tcPr>
            <w:tcW w:w="544" w:type="dxa"/>
            <w:vAlign w:val="center"/>
          </w:tcPr>
          <w:p w14:paraId="44932FF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41</w:t>
            </w:r>
          </w:p>
        </w:tc>
        <w:tc>
          <w:tcPr>
            <w:tcW w:w="2738" w:type="dxa"/>
            <w:vAlign w:val="center"/>
          </w:tcPr>
          <w:p w14:paraId="5DA44D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支持买卖指令，包括买入开仓/买入平仓/卖出平仓/卖出开仓/备兑开仓/备兑平仓/撤单，支持期权行权现货交收</w:t>
            </w:r>
          </w:p>
        </w:tc>
        <w:tc>
          <w:tcPr>
            <w:tcW w:w="1063" w:type="dxa"/>
            <w:vAlign w:val="center"/>
          </w:tcPr>
          <w:p w14:paraId="0340223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4E6D8BD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《上海证券交易所股票期权试点交易规则》</w:t>
            </w:r>
          </w:p>
        </w:tc>
        <w:tc>
          <w:tcPr>
            <w:tcW w:w="730" w:type="dxa"/>
            <w:vAlign w:val="center"/>
          </w:tcPr>
          <w:p w14:paraId="5B99CA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5EA93D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0335B35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E2EA2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E216B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31A98A4">
            <w:pPr>
              <w:widowControl w:val="0"/>
              <w:snapToGrid w:val="0"/>
              <w:spacing w:line="240" w:lineRule="auto"/>
              <w:ind w:firstLine="0" w:firstLineChars="0"/>
              <w:rPr>
                <w:rFonts w:eastAsia="仿宋" w:cs="Times New Roman"/>
                <w:sz w:val="24"/>
                <w:szCs w:val="28"/>
              </w:rPr>
            </w:pPr>
          </w:p>
        </w:tc>
      </w:tr>
      <w:tr w14:paraId="2ADD9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562" w:hRule="atLeast"/>
          <w:jc w:val="center"/>
        </w:trPr>
        <w:tc>
          <w:tcPr>
            <w:tcW w:w="966" w:type="dxa"/>
            <w:vMerge w:val="continue"/>
            <w:vAlign w:val="center"/>
          </w:tcPr>
          <w:p w14:paraId="77297131">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0BE865D5">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42</w:t>
            </w:r>
          </w:p>
        </w:tc>
        <w:tc>
          <w:tcPr>
            <w:tcW w:w="2738" w:type="dxa"/>
            <w:vAlign w:val="center"/>
          </w:tcPr>
          <w:p w14:paraId="6D9747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支持交易订单，包括限价/市价剩余转限价/市价剩余撤销/全额即时限价申报/全额即时市价申报</w:t>
            </w:r>
          </w:p>
        </w:tc>
        <w:tc>
          <w:tcPr>
            <w:tcW w:w="1063" w:type="dxa"/>
            <w:vAlign w:val="center"/>
          </w:tcPr>
          <w:p w14:paraId="5FA8E43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D4742C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《上海证券交易所股票期权试点交易规则》</w:t>
            </w:r>
          </w:p>
        </w:tc>
        <w:tc>
          <w:tcPr>
            <w:tcW w:w="730" w:type="dxa"/>
            <w:vAlign w:val="center"/>
          </w:tcPr>
          <w:p w14:paraId="61D9CCB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B8F95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4E69DD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E5036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64C41A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67ED5D1">
            <w:pPr>
              <w:widowControl w:val="0"/>
              <w:snapToGrid w:val="0"/>
              <w:spacing w:line="240" w:lineRule="auto"/>
              <w:ind w:firstLine="0" w:firstLineChars="0"/>
              <w:rPr>
                <w:rFonts w:eastAsia="仿宋" w:cs="Times New Roman"/>
                <w:sz w:val="24"/>
                <w:szCs w:val="28"/>
              </w:rPr>
            </w:pPr>
          </w:p>
        </w:tc>
      </w:tr>
      <w:tr w14:paraId="7C709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060" w:hRule="atLeast"/>
          <w:jc w:val="center"/>
        </w:trPr>
        <w:tc>
          <w:tcPr>
            <w:tcW w:w="966" w:type="dxa"/>
            <w:vMerge w:val="continue"/>
            <w:vAlign w:val="center"/>
          </w:tcPr>
          <w:p w14:paraId="12063A84">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13FF833E">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43</w:t>
            </w:r>
          </w:p>
        </w:tc>
        <w:tc>
          <w:tcPr>
            <w:tcW w:w="2738" w:type="dxa"/>
            <w:vAlign w:val="center"/>
          </w:tcPr>
          <w:p w14:paraId="4C5A983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支持非交易指令，包括证券锁定与解锁指令/行权指令（包括行权</w:t>
            </w:r>
            <w:r>
              <w:rPr>
                <w:rFonts w:eastAsia="仿宋" w:cs="Times New Roman"/>
                <w:sz w:val="24"/>
                <w:szCs w:val="28"/>
              </w:rPr>
              <w:t>指令</w:t>
            </w:r>
            <w:r>
              <w:rPr>
                <w:rFonts w:hint="eastAsia" w:eastAsia="仿宋" w:cs="Times New Roman"/>
                <w:sz w:val="24"/>
                <w:szCs w:val="28"/>
              </w:rPr>
              <w:t>合并</w:t>
            </w:r>
            <w:r>
              <w:rPr>
                <w:rFonts w:eastAsia="仿宋" w:cs="Times New Roman"/>
                <w:sz w:val="24"/>
                <w:szCs w:val="28"/>
              </w:rPr>
              <w:t>申报，如有</w:t>
            </w:r>
            <w:r>
              <w:rPr>
                <w:rFonts w:hint="eastAsia" w:eastAsia="仿宋" w:cs="Times New Roman"/>
                <w:sz w:val="24"/>
                <w:szCs w:val="28"/>
              </w:rPr>
              <w:t>）/撤销行权指令/处置账户划转指令</w:t>
            </w:r>
          </w:p>
        </w:tc>
        <w:tc>
          <w:tcPr>
            <w:tcW w:w="1063" w:type="dxa"/>
            <w:vAlign w:val="center"/>
          </w:tcPr>
          <w:p w14:paraId="4A8E8D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9C8532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752B9D5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53F20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01D1232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F3D9B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98845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BEDCA24">
            <w:pPr>
              <w:widowControl w:val="0"/>
              <w:snapToGrid w:val="0"/>
              <w:spacing w:line="240" w:lineRule="auto"/>
              <w:ind w:firstLine="0" w:firstLineChars="0"/>
              <w:rPr>
                <w:rFonts w:eastAsia="仿宋" w:cs="Times New Roman"/>
                <w:sz w:val="24"/>
                <w:szCs w:val="28"/>
              </w:rPr>
            </w:pPr>
          </w:p>
        </w:tc>
      </w:tr>
      <w:tr w14:paraId="35328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712" w:hRule="atLeast"/>
          <w:jc w:val="center"/>
        </w:trPr>
        <w:tc>
          <w:tcPr>
            <w:tcW w:w="966" w:type="dxa"/>
            <w:vMerge w:val="continue"/>
            <w:vAlign w:val="center"/>
          </w:tcPr>
          <w:p w14:paraId="0616DD5A">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363673A1">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44</w:t>
            </w:r>
          </w:p>
        </w:tc>
        <w:tc>
          <w:tcPr>
            <w:tcW w:w="2738" w:type="dxa"/>
            <w:vAlign w:val="center"/>
          </w:tcPr>
          <w:p w14:paraId="61FEA83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支持根据交易指令进行资金</w:t>
            </w:r>
            <w:r>
              <w:rPr>
                <w:rFonts w:eastAsia="仿宋" w:cs="Times New Roman"/>
                <w:sz w:val="24"/>
                <w:szCs w:val="28"/>
              </w:rPr>
              <w:t>是否足额检查</w:t>
            </w:r>
            <w:r>
              <w:rPr>
                <w:rFonts w:hint="eastAsia" w:eastAsia="仿宋" w:cs="Times New Roman"/>
                <w:sz w:val="24"/>
                <w:szCs w:val="28"/>
              </w:rPr>
              <w:t>、持仓检查，限价申报按涨跌停价进行前端控制</w:t>
            </w:r>
          </w:p>
        </w:tc>
        <w:tc>
          <w:tcPr>
            <w:tcW w:w="1063" w:type="dxa"/>
            <w:vAlign w:val="center"/>
          </w:tcPr>
          <w:p w14:paraId="018890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F1CCA7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3E8FAE5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91F274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2B329E1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FE6D2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5303B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666EA2E">
            <w:pPr>
              <w:widowControl w:val="0"/>
              <w:snapToGrid w:val="0"/>
              <w:spacing w:line="240" w:lineRule="auto"/>
              <w:ind w:firstLine="0" w:firstLineChars="0"/>
              <w:rPr>
                <w:rFonts w:eastAsia="仿宋" w:cs="Times New Roman"/>
                <w:sz w:val="24"/>
                <w:szCs w:val="28"/>
              </w:rPr>
            </w:pPr>
          </w:p>
        </w:tc>
      </w:tr>
      <w:tr w14:paraId="713E4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527" w:hRule="atLeast"/>
          <w:jc w:val="center"/>
        </w:trPr>
        <w:tc>
          <w:tcPr>
            <w:tcW w:w="966" w:type="dxa"/>
            <w:vMerge w:val="continue"/>
            <w:vAlign w:val="center"/>
          </w:tcPr>
          <w:p w14:paraId="6EE2312C">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76854A4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r>
              <w:rPr>
                <w:rFonts w:eastAsia="仿宋" w:cs="Times New Roman"/>
                <w:sz w:val="24"/>
                <w:szCs w:val="28"/>
              </w:rPr>
              <w:t>5</w:t>
            </w:r>
          </w:p>
        </w:tc>
        <w:tc>
          <w:tcPr>
            <w:tcW w:w="2738" w:type="dxa"/>
            <w:vAlign w:val="center"/>
          </w:tcPr>
          <w:p w14:paraId="727FC28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支持根据交易指令、非交易指令与成交回报进行保证金余额和持仓处理</w:t>
            </w:r>
          </w:p>
        </w:tc>
        <w:tc>
          <w:tcPr>
            <w:tcW w:w="1063" w:type="dxa"/>
            <w:vAlign w:val="center"/>
          </w:tcPr>
          <w:p w14:paraId="2A56F0E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4641CB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6FAD7F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DF4C91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2D49A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129C52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A7DF30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1CE0A59D">
            <w:pPr>
              <w:widowControl w:val="0"/>
              <w:snapToGrid w:val="0"/>
              <w:spacing w:line="240" w:lineRule="auto"/>
              <w:ind w:firstLine="0" w:firstLineChars="0"/>
              <w:rPr>
                <w:rFonts w:eastAsia="仿宋" w:cs="Times New Roman"/>
                <w:sz w:val="24"/>
                <w:szCs w:val="28"/>
              </w:rPr>
            </w:pPr>
          </w:p>
        </w:tc>
      </w:tr>
      <w:tr w14:paraId="15A39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767" w:hRule="atLeast"/>
          <w:jc w:val="center"/>
        </w:trPr>
        <w:tc>
          <w:tcPr>
            <w:tcW w:w="966" w:type="dxa"/>
            <w:vMerge w:val="continue"/>
            <w:vAlign w:val="center"/>
          </w:tcPr>
          <w:p w14:paraId="7CDB06EF">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79A5FF2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r>
              <w:rPr>
                <w:rFonts w:eastAsia="仿宋" w:cs="Times New Roman"/>
                <w:sz w:val="24"/>
                <w:szCs w:val="28"/>
              </w:rPr>
              <w:t>6</w:t>
            </w:r>
          </w:p>
        </w:tc>
        <w:tc>
          <w:tcPr>
            <w:tcW w:w="2738" w:type="dxa"/>
            <w:vAlign w:val="center"/>
          </w:tcPr>
          <w:p w14:paraId="703B41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根据客户的行权指令合并申报（如有）和非行权指令合并申报进行前端控制</w:t>
            </w:r>
          </w:p>
        </w:tc>
        <w:tc>
          <w:tcPr>
            <w:tcW w:w="1063" w:type="dxa"/>
            <w:vAlign w:val="center"/>
          </w:tcPr>
          <w:p w14:paraId="2C3AA8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14F98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45AC9D1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A1449C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475E8A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0FC76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0518B6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135DEEEC">
            <w:pPr>
              <w:widowControl w:val="0"/>
              <w:snapToGrid w:val="0"/>
              <w:spacing w:line="240" w:lineRule="auto"/>
              <w:ind w:firstLine="0" w:firstLineChars="0"/>
              <w:rPr>
                <w:rFonts w:eastAsia="仿宋" w:cs="Times New Roman"/>
                <w:sz w:val="24"/>
                <w:szCs w:val="28"/>
              </w:rPr>
            </w:pPr>
          </w:p>
        </w:tc>
      </w:tr>
      <w:tr w14:paraId="49B8A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727" w:hRule="atLeast"/>
          <w:jc w:val="center"/>
        </w:trPr>
        <w:tc>
          <w:tcPr>
            <w:tcW w:w="966" w:type="dxa"/>
            <w:vMerge w:val="continue"/>
            <w:vAlign w:val="center"/>
          </w:tcPr>
          <w:p w14:paraId="407AF247">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7AD5D84">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r>
              <w:rPr>
                <w:rFonts w:eastAsia="仿宋" w:cs="Times New Roman"/>
                <w:sz w:val="24"/>
                <w:szCs w:val="28"/>
              </w:rPr>
              <w:t>7</w:t>
            </w:r>
          </w:p>
        </w:tc>
        <w:tc>
          <w:tcPr>
            <w:tcW w:w="2738" w:type="dxa"/>
            <w:vAlign w:val="center"/>
          </w:tcPr>
          <w:p w14:paraId="60E974F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支持分标的</w:t>
            </w:r>
            <w:r>
              <w:rPr>
                <w:rFonts w:eastAsia="仿宋" w:cs="Times New Roman"/>
                <w:sz w:val="24"/>
                <w:szCs w:val="28"/>
              </w:rPr>
              <w:t>进行</w:t>
            </w:r>
            <w:r>
              <w:rPr>
                <w:rFonts w:hint="eastAsia" w:eastAsia="仿宋" w:cs="Times New Roman"/>
                <w:sz w:val="24"/>
                <w:szCs w:val="28"/>
              </w:rPr>
              <w:t>额度管理，支持限仓、限额申请、审批、变更及</w:t>
            </w:r>
            <w:r>
              <w:rPr>
                <w:rFonts w:eastAsia="仿宋" w:cs="Times New Roman"/>
                <w:sz w:val="24"/>
                <w:szCs w:val="28"/>
              </w:rPr>
              <w:t>动态调整</w:t>
            </w:r>
          </w:p>
        </w:tc>
        <w:tc>
          <w:tcPr>
            <w:tcW w:w="1063" w:type="dxa"/>
            <w:vAlign w:val="center"/>
          </w:tcPr>
          <w:p w14:paraId="7739ADD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7ACE866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6006853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53175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0577BBF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D73352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7CB9A2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8E664DF">
            <w:pPr>
              <w:widowControl w:val="0"/>
              <w:snapToGrid w:val="0"/>
              <w:spacing w:line="240" w:lineRule="auto"/>
              <w:ind w:firstLine="0" w:firstLineChars="0"/>
              <w:rPr>
                <w:rFonts w:eastAsia="仿宋" w:cs="Times New Roman"/>
                <w:sz w:val="24"/>
                <w:szCs w:val="28"/>
              </w:rPr>
            </w:pPr>
          </w:p>
        </w:tc>
      </w:tr>
      <w:tr w14:paraId="31BF5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781" w:hRule="atLeast"/>
          <w:jc w:val="center"/>
        </w:trPr>
        <w:tc>
          <w:tcPr>
            <w:tcW w:w="966" w:type="dxa"/>
            <w:vMerge w:val="continue"/>
            <w:vAlign w:val="center"/>
          </w:tcPr>
          <w:p w14:paraId="4BB27F03">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19BF6990">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48</w:t>
            </w:r>
          </w:p>
        </w:tc>
        <w:tc>
          <w:tcPr>
            <w:tcW w:w="2738" w:type="dxa"/>
            <w:vAlign w:val="center"/>
          </w:tcPr>
          <w:p w14:paraId="5F417A2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支持持仓限额监控与通知功能（包括按品种监控单个账户权利仓、总持仓、单日买入开仓和期货公司总持仓，并对超出持仓限制的单个客户及时发送平仓通知）</w:t>
            </w:r>
          </w:p>
        </w:tc>
        <w:tc>
          <w:tcPr>
            <w:tcW w:w="1063" w:type="dxa"/>
            <w:vAlign w:val="center"/>
          </w:tcPr>
          <w:p w14:paraId="6DF6FC0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372FBA0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3CFFEF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19C05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97EF3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646B3A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16783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B32AA63">
            <w:pPr>
              <w:widowControl w:val="0"/>
              <w:snapToGrid w:val="0"/>
              <w:spacing w:line="240" w:lineRule="auto"/>
              <w:ind w:firstLine="0" w:firstLineChars="0"/>
              <w:rPr>
                <w:rFonts w:eastAsia="仿宋" w:cs="Times New Roman"/>
                <w:sz w:val="24"/>
                <w:szCs w:val="28"/>
              </w:rPr>
            </w:pPr>
          </w:p>
        </w:tc>
      </w:tr>
      <w:tr w14:paraId="6A8C4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012" w:hRule="atLeast"/>
          <w:jc w:val="center"/>
        </w:trPr>
        <w:tc>
          <w:tcPr>
            <w:tcW w:w="966" w:type="dxa"/>
            <w:vMerge w:val="continue"/>
            <w:vAlign w:val="center"/>
          </w:tcPr>
          <w:p w14:paraId="137037B5">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5315DAD1">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49</w:t>
            </w:r>
          </w:p>
        </w:tc>
        <w:tc>
          <w:tcPr>
            <w:tcW w:w="2738" w:type="dxa"/>
            <w:vAlign w:val="center"/>
          </w:tcPr>
          <w:p w14:paraId="087869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支持限仓</w:t>
            </w:r>
            <w:r>
              <w:rPr>
                <w:rFonts w:eastAsia="仿宋" w:cs="Times New Roman"/>
                <w:sz w:val="24"/>
                <w:szCs w:val="28"/>
              </w:rPr>
              <w:t>、</w:t>
            </w:r>
            <w:r>
              <w:rPr>
                <w:rFonts w:hint="eastAsia" w:eastAsia="仿宋" w:cs="Times New Roman"/>
                <w:sz w:val="24"/>
                <w:szCs w:val="28"/>
              </w:rPr>
              <w:t>限购：根据核定的限仓</w:t>
            </w:r>
            <w:r>
              <w:rPr>
                <w:rFonts w:eastAsia="仿宋" w:cs="Times New Roman"/>
                <w:sz w:val="24"/>
                <w:szCs w:val="28"/>
              </w:rPr>
              <w:t>、限购额度</w:t>
            </w:r>
            <w:r>
              <w:rPr>
                <w:rFonts w:hint="eastAsia" w:eastAsia="仿宋" w:cs="Times New Roman"/>
                <w:sz w:val="24"/>
                <w:szCs w:val="28"/>
              </w:rPr>
              <w:t>进行前端控制</w:t>
            </w:r>
          </w:p>
        </w:tc>
        <w:tc>
          <w:tcPr>
            <w:tcW w:w="1063" w:type="dxa"/>
            <w:vAlign w:val="center"/>
          </w:tcPr>
          <w:p w14:paraId="0E6F85D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76DFCD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0188BF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6351D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EC935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827D3F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AFA999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2AE33C47">
            <w:pPr>
              <w:widowControl w:val="0"/>
              <w:snapToGrid w:val="0"/>
              <w:spacing w:line="240" w:lineRule="auto"/>
              <w:ind w:firstLine="0" w:firstLineChars="0"/>
              <w:rPr>
                <w:rFonts w:eastAsia="仿宋" w:cs="Times New Roman"/>
                <w:sz w:val="24"/>
                <w:szCs w:val="28"/>
              </w:rPr>
            </w:pPr>
          </w:p>
        </w:tc>
      </w:tr>
      <w:tr w14:paraId="66724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488" w:hRule="atLeast"/>
          <w:jc w:val="center"/>
        </w:trPr>
        <w:tc>
          <w:tcPr>
            <w:tcW w:w="966" w:type="dxa"/>
            <w:vMerge w:val="continue"/>
            <w:vAlign w:val="center"/>
          </w:tcPr>
          <w:p w14:paraId="222E2652">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5F80D681">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50</w:t>
            </w:r>
          </w:p>
        </w:tc>
        <w:tc>
          <w:tcPr>
            <w:tcW w:w="2738" w:type="dxa"/>
            <w:vAlign w:val="center"/>
          </w:tcPr>
          <w:p w14:paraId="6CB1EDF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支持按品种限制账户权限：根据交易所或期货公司内部要求分品种限制该账户的交易、开仓、卖出开仓、备兑锁定/解锁指令的申报</w:t>
            </w:r>
          </w:p>
        </w:tc>
        <w:tc>
          <w:tcPr>
            <w:tcW w:w="1063" w:type="dxa"/>
            <w:vAlign w:val="center"/>
          </w:tcPr>
          <w:p w14:paraId="010364D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7A41526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3703AE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347BC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211B5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C66B2F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AED22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163E132C">
            <w:pPr>
              <w:widowControl w:val="0"/>
              <w:snapToGrid w:val="0"/>
              <w:spacing w:line="240" w:lineRule="auto"/>
              <w:ind w:firstLine="0" w:firstLineChars="0"/>
              <w:rPr>
                <w:rFonts w:eastAsia="仿宋" w:cs="Times New Roman"/>
                <w:sz w:val="24"/>
                <w:szCs w:val="28"/>
              </w:rPr>
            </w:pPr>
          </w:p>
        </w:tc>
      </w:tr>
      <w:tr w14:paraId="01683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187" w:hRule="atLeast"/>
          <w:jc w:val="center"/>
        </w:trPr>
        <w:tc>
          <w:tcPr>
            <w:tcW w:w="966" w:type="dxa"/>
            <w:vMerge w:val="continue"/>
            <w:vAlign w:val="center"/>
          </w:tcPr>
          <w:p w14:paraId="496DA35A">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0E209E6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51</w:t>
            </w:r>
          </w:p>
        </w:tc>
        <w:tc>
          <w:tcPr>
            <w:tcW w:w="2738" w:type="dxa"/>
            <w:vAlign w:val="center"/>
          </w:tcPr>
          <w:p w14:paraId="1469555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支持客户资产对账单通知功能</w:t>
            </w:r>
          </w:p>
        </w:tc>
        <w:tc>
          <w:tcPr>
            <w:tcW w:w="1063" w:type="dxa"/>
            <w:vAlign w:val="center"/>
          </w:tcPr>
          <w:p w14:paraId="27FBE3D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056084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62D744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76E66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616A0D6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C900C7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D3C17D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56B5353">
            <w:pPr>
              <w:widowControl w:val="0"/>
              <w:snapToGrid w:val="0"/>
              <w:spacing w:line="240" w:lineRule="auto"/>
              <w:ind w:firstLine="0" w:firstLineChars="0"/>
              <w:rPr>
                <w:rFonts w:eastAsia="仿宋" w:cs="Times New Roman"/>
                <w:sz w:val="24"/>
                <w:szCs w:val="28"/>
              </w:rPr>
            </w:pPr>
          </w:p>
        </w:tc>
      </w:tr>
      <w:tr w14:paraId="23FCB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restart"/>
            <w:vAlign w:val="center"/>
          </w:tcPr>
          <w:p w14:paraId="171B2A2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保证金管理</w:t>
            </w:r>
          </w:p>
        </w:tc>
        <w:tc>
          <w:tcPr>
            <w:tcW w:w="544" w:type="dxa"/>
            <w:vAlign w:val="center"/>
          </w:tcPr>
          <w:p w14:paraId="082CB0E0">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52</w:t>
            </w:r>
          </w:p>
        </w:tc>
        <w:tc>
          <w:tcPr>
            <w:tcW w:w="2738" w:type="dxa"/>
            <w:vAlign w:val="center"/>
          </w:tcPr>
          <w:p w14:paraId="358A41C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支持与银行逐日账务核对</w:t>
            </w:r>
          </w:p>
        </w:tc>
        <w:tc>
          <w:tcPr>
            <w:tcW w:w="1063" w:type="dxa"/>
            <w:vAlign w:val="center"/>
          </w:tcPr>
          <w:p w14:paraId="140A3A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77558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1BC60E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8317E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3DD9384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15137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3D8EF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247B29BB">
            <w:pPr>
              <w:widowControl w:val="0"/>
              <w:snapToGrid w:val="0"/>
              <w:spacing w:line="240" w:lineRule="auto"/>
              <w:ind w:firstLine="0" w:firstLineChars="0"/>
              <w:rPr>
                <w:rFonts w:eastAsia="仿宋" w:cs="Times New Roman"/>
                <w:sz w:val="24"/>
                <w:szCs w:val="28"/>
              </w:rPr>
            </w:pPr>
          </w:p>
        </w:tc>
      </w:tr>
      <w:tr w14:paraId="009D5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3035D2B6">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1BE1565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53</w:t>
            </w:r>
          </w:p>
        </w:tc>
        <w:tc>
          <w:tcPr>
            <w:tcW w:w="2738" w:type="dxa"/>
            <w:vAlign w:val="center"/>
          </w:tcPr>
          <w:p w14:paraId="2EB98F8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支持市场参与文件报送</w:t>
            </w:r>
          </w:p>
        </w:tc>
        <w:tc>
          <w:tcPr>
            <w:tcW w:w="1063" w:type="dxa"/>
            <w:vAlign w:val="center"/>
          </w:tcPr>
          <w:p w14:paraId="1FC53F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D30A0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7D80F8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7B87F6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5BFCA8A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6DEC96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BE1AA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B596C53">
            <w:pPr>
              <w:widowControl w:val="0"/>
              <w:snapToGrid w:val="0"/>
              <w:spacing w:line="240" w:lineRule="auto"/>
              <w:ind w:firstLine="0" w:firstLineChars="0"/>
              <w:rPr>
                <w:rFonts w:eastAsia="仿宋" w:cs="Times New Roman"/>
                <w:sz w:val="24"/>
                <w:szCs w:val="28"/>
              </w:rPr>
            </w:pPr>
          </w:p>
        </w:tc>
      </w:tr>
      <w:tr w14:paraId="2AF9A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260" w:hRule="atLeast"/>
          <w:jc w:val="center"/>
        </w:trPr>
        <w:tc>
          <w:tcPr>
            <w:tcW w:w="966" w:type="dxa"/>
            <w:vMerge w:val="continue"/>
            <w:vAlign w:val="center"/>
          </w:tcPr>
          <w:p w14:paraId="2E5F4CB3">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190E373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54</w:t>
            </w:r>
          </w:p>
        </w:tc>
        <w:tc>
          <w:tcPr>
            <w:tcW w:w="2738" w:type="dxa"/>
            <w:vAlign w:val="center"/>
          </w:tcPr>
          <w:p w14:paraId="5167E8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支持维持保证金监控与通知：对卖方维持保证金占保证金总额比例进行监控，低于一定水平及时通知客户追加</w:t>
            </w:r>
          </w:p>
        </w:tc>
        <w:tc>
          <w:tcPr>
            <w:tcW w:w="1063" w:type="dxa"/>
            <w:vAlign w:val="center"/>
          </w:tcPr>
          <w:p w14:paraId="1A49472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083AA65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730" w:type="dxa"/>
            <w:vAlign w:val="center"/>
          </w:tcPr>
          <w:p w14:paraId="4D0C19E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44B1CB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3098A7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B66E3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52560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60362FF">
            <w:pPr>
              <w:widowControl w:val="0"/>
              <w:snapToGrid w:val="0"/>
              <w:spacing w:line="240" w:lineRule="auto"/>
              <w:ind w:firstLine="0" w:firstLineChars="0"/>
              <w:rPr>
                <w:rFonts w:eastAsia="仿宋" w:cs="Times New Roman"/>
                <w:sz w:val="24"/>
                <w:szCs w:val="28"/>
              </w:rPr>
            </w:pPr>
          </w:p>
        </w:tc>
      </w:tr>
      <w:tr w14:paraId="7F61C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061" w:hRule="atLeast"/>
          <w:jc w:val="center"/>
        </w:trPr>
        <w:tc>
          <w:tcPr>
            <w:tcW w:w="966" w:type="dxa"/>
            <w:vMerge w:val="continue"/>
            <w:vAlign w:val="center"/>
          </w:tcPr>
          <w:p w14:paraId="473EB9CB">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C6A80CE">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55</w:t>
            </w:r>
          </w:p>
        </w:tc>
        <w:tc>
          <w:tcPr>
            <w:tcW w:w="2738" w:type="dxa"/>
            <w:vAlign w:val="center"/>
          </w:tcPr>
          <w:p w14:paraId="2CDC336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支持实时保证金监控：合约标的或期权合约交易价格变动导致的保证金变化的监控，分别按照公司保证金水平和所司保证金水平建立实时价格保证金占其保证金总额的监控指标</w:t>
            </w:r>
          </w:p>
        </w:tc>
        <w:tc>
          <w:tcPr>
            <w:tcW w:w="1063" w:type="dxa"/>
            <w:vAlign w:val="center"/>
          </w:tcPr>
          <w:p w14:paraId="16ADDF9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2766D15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2E7A90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F114B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457B2D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195965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2B4EDF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21A8B60">
            <w:pPr>
              <w:widowControl w:val="0"/>
              <w:snapToGrid w:val="0"/>
              <w:spacing w:line="240" w:lineRule="auto"/>
              <w:ind w:firstLine="0" w:firstLineChars="0"/>
              <w:rPr>
                <w:rFonts w:eastAsia="仿宋" w:cs="Times New Roman"/>
                <w:sz w:val="24"/>
                <w:szCs w:val="28"/>
              </w:rPr>
            </w:pPr>
          </w:p>
        </w:tc>
      </w:tr>
      <w:tr w14:paraId="66B3B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66708171">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0522A76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56</w:t>
            </w:r>
          </w:p>
        </w:tc>
        <w:tc>
          <w:tcPr>
            <w:tcW w:w="2738" w:type="dxa"/>
            <w:vAlign w:val="center"/>
          </w:tcPr>
          <w:p w14:paraId="1D7C6AE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支持盘中平仓和追保实时监控</w:t>
            </w:r>
          </w:p>
        </w:tc>
        <w:tc>
          <w:tcPr>
            <w:tcW w:w="1063" w:type="dxa"/>
            <w:vAlign w:val="center"/>
          </w:tcPr>
          <w:p w14:paraId="491E66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2E56DD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556D4D3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D3833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50117E9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A32A7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4536C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5F80AE83">
            <w:pPr>
              <w:widowControl w:val="0"/>
              <w:snapToGrid w:val="0"/>
              <w:spacing w:line="240" w:lineRule="auto"/>
              <w:ind w:firstLine="0" w:firstLineChars="0"/>
              <w:rPr>
                <w:rFonts w:eastAsia="仿宋" w:cs="Times New Roman"/>
                <w:sz w:val="24"/>
                <w:szCs w:val="28"/>
              </w:rPr>
            </w:pPr>
          </w:p>
        </w:tc>
      </w:tr>
      <w:tr w14:paraId="139DB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1745D3A7">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6CD5685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57</w:t>
            </w:r>
          </w:p>
        </w:tc>
        <w:tc>
          <w:tcPr>
            <w:tcW w:w="2738" w:type="dxa"/>
            <w:vAlign w:val="center"/>
          </w:tcPr>
          <w:p w14:paraId="52108DB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客户可用保证金余额监控：客户买卖期权合约与资金时，保证金出现不足时进行预警提示</w:t>
            </w:r>
          </w:p>
        </w:tc>
        <w:tc>
          <w:tcPr>
            <w:tcW w:w="1063" w:type="dxa"/>
            <w:vAlign w:val="center"/>
          </w:tcPr>
          <w:p w14:paraId="6018D9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345FDC8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5C9C18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B55C7A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54DA526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698EE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413A1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0262D1E">
            <w:pPr>
              <w:widowControl w:val="0"/>
              <w:snapToGrid w:val="0"/>
              <w:spacing w:line="240" w:lineRule="auto"/>
              <w:ind w:firstLine="0" w:firstLineChars="0"/>
              <w:rPr>
                <w:rFonts w:eastAsia="仿宋" w:cs="Times New Roman"/>
                <w:sz w:val="24"/>
                <w:szCs w:val="28"/>
              </w:rPr>
            </w:pPr>
          </w:p>
        </w:tc>
      </w:tr>
      <w:tr w14:paraId="7E7CB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259E3B7A">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25C8ACA">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58</w:t>
            </w:r>
          </w:p>
        </w:tc>
        <w:tc>
          <w:tcPr>
            <w:tcW w:w="2738" w:type="dxa"/>
            <w:vAlign w:val="center"/>
          </w:tcPr>
          <w:p w14:paraId="73454E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压力测试分析：标的波动较大时，可进行盘中试算</w:t>
            </w:r>
          </w:p>
        </w:tc>
        <w:tc>
          <w:tcPr>
            <w:tcW w:w="1063" w:type="dxa"/>
            <w:vAlign w:val="center"/>
          </w:tcPr>
          <w:p w14:paraId="44E3A25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BD878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6A86CD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0923D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53D77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22C261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2BDFAC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D4B5805">
            <w:pPr>
              <w:widowControl w:val="0"/>
              <w:snapToGrid w:val="0"/>
              <w:spacing w:line="240" w:lineRule="auto"/>
              <w:ind w:firstLine="0" w:firstLineChars="0"/>
              <w:rPr>
                <w:rFonts w:eastAsia="仿宋" w:cs="Times New Roman"/>
                <w:sz w:val="24"/>
                <w:szCs w:val="28"/>
              </w:rPr>
            </w:pPr>
          </w:p>
        </w:tc>
      </w:tr>
      <w:tr w14:paraId="06386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11A989C5">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30170FBA">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5</w:t>
            </w:r>
            <w:r>
              <w:rPr>
                <w:rFonts w:eastAsia="仿宋" w:cs="Times New Roman"/>
                <w:sz w:val="24"/>
                <w:szCs w:val="28"/>
              </w:rPr>
              <w:t>9</w:t>
            </w:r>
          </w:p>
        </w:tc>
        <w:tc>
          <w:tcPr>
            <w:tcW w:w="2738" w:type="dxa"/>
            <w:vAlign w:val="center"/>
          </w:tcPr>
          <w:p w14:paraId="7FC31F2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保证开市结算准备金大于最低余额监控</w:t>
            </w:r>
          </w:p>
        </w:tc>
        <w:tc>
          <w:tcPr>
            <w:tcW w:w="1063" w:type="dxa"/>
            <w:vAlign w:val="center"/>
          </w:tcPr>
          <w:p w14:paraId="7B8EC0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2E83B9B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0E798DB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83E30D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34E5A5D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918FAB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E57C3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8036B4F">
            <w:pPr>
              <w:widowControl w:val="0"/>
              <w:snapToGrid w:val="0"/>
              <w:spacing w:line="240" w:lineRule="auto"/>
              <w:ind w:firstLine="0" w:firstLineChars="0"/>
              <w:rPr>
                <w:rFonts w:eastAsia="仿宋" w:cs="Times New Roman"/>
                <w:sz w:val="24"/>
                <w:szCs w:val="28"/>
              </w:rPr>
            </w:pPr>
          </w:p>
        </w:tc>
      </w:tr>
      <w:tr w14:paraId="6E3A7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3D1C358A">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7E3EB2A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60</w:t>
            </w:r>
          </w:p>
        </w:tc>
        <w:tc>
          <w:tcPr>
            <w:tcW w:w="2738" w:type="dxa"/>
            <w:vAlign w:val="center"/>
          </w:tcPr>
          <w:p w14:paraId="465830A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结算准备金余额日间实时监控</w:t>
            </w:r>
          </w:p>
        </w:tc>
        <w:tc>
          <w:tcPr>
            <w:tcW w:w="1063" w:type="dxa"/>
            <w:vAlign w:val="center"/>
          </w:tcPr>
          <w:p w14:paraId="404FE9F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4CF54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730" w:type="dxa"/>
            <w:vAlign w:val="center"/>
          </w:tcPr>
          <w:p w14:paraId="30D7DD0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446FD6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2744A8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25C35C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686C14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2AB14896">
            <w:pPr>
              <w:widowControl w:val="0"/>
              <w:snapToGrid w:val="0"/>
              <w:spacing w:line="240" w:lineRule="auto"/>
              <w:ind w:firstLine="0" w:firstLineChars="0"/>
              <w:rPr>
                <w:rFonts w:eastAsia="仿宋" w:cs="Times New Roman"/>
                <w:sz w:val="24"/>
                <w:szCs w:val="28"/>
              </w:rPr>
            </w:pPr>
          </w:p>
        </w:tc>
      </w:tr>
      <w:tr w14:paraId="00D28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412" w:hRule="atLeast"/>
          <w:jc w:val="center"/>
        </w:trPr>
        <w:tc>
          <w:tcPr>
            <w:tcW w:w="966" w:type="dxa"/>
            <w:vMerge w:val="continue"/>
            <w:vAlign w:val="center"/>
          </w:tcPr>
          <w:p w14:paraId="541FA1CB">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5C8EC2E2">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61</w:t>
            </w:r>
          </w:p>
        </w:tc>
        <w:tc>
          <w:tcPr>
            <w:tcW w:w="2738" w:type="dxa"/>
            <w:vAlign w:val="center"/>
          </w:tcPr>
          <w:p w14:paraId="6BD745A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备兑开仓客户保证金监控：备兑开仓客户的备兑备用证券数量进行监控</w:t>
            </w:r>
          </w:p>
        </w:tc>
        <w:tc>
          <w:tcPr>
            <w:tcW w:w="1063" w:type="dxa"/>
            <w:vAlign w:val="center"/>
          </w:tcPr>
          <w:p w14:paraId="3C97BA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23CF79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6971C2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C3FB76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436B39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391F8C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2018E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0D259F9">
            <w:pPr>
              <w:widowControl w:val="0"/>
              <w:snapToGrid w:val="0"/>
              <w:spacing w:line="240" w:lineRule="auto"/>
              <w:ind w:firstLine="0" w:firstLineChars="0"/>
              <w:rPr>
                <w:rFonts w:eastAsia="仿宋" w:cs="Times New Roman"/>
                <w:sz w:val="24"/>
                <w:szCs w:val="28"/>
              </w:rPr>
            </w:pPr>
          </w:p>
        </w:tc>
      </w:tr>
      <w:tr w14:paraId="5BA83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891" w:hRule="atLeast"/>
          <w:jc w:val="center"/>
        </w:trPr>
        <w:tc>
          <w:tcPr>
            <w:tcW w:w="966" w:type="dxa"/>
            <w:vMerge w:val="continue"/>
            <w:vAlign w:val="center"/>
          </w:tcPr>
          <w:p w14:paraId="2883E019">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6638F519">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62</w:t>
            </w:r>
          </w:p>
        </w:tc>
        <w:tc>
          <w:tcPr>
            <w:tcW w:w="2738" w:type="dxa"/>
            <w:vAlign w:val="center"/>
          </w:tcPr>
          <w:p w14:paraId="321FB9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资金盯市：对客户衍生品结算资金汇总账户和客户股票期权保证金账户的资金划拨进行盯市管理</w:t>
            </w:r>
          </w:p>
        </w:tc>
        <w:tc>
          <w:tcPr>
            <w:tcW w:w="1063" w:type="dxa"/>
            <w:vAlign w:val="center"/>
          </w:tcPr>
          <w:p w14:paraId="061C5D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094C6C0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53D8DF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207AE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3BBE59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07252D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CE138E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3751E418">
            <w:pPr>
              <w:widowControl w:val="0"/>
              <w:snapToGrid w:val="0"/>
              <w:spacing w:line="240" w:lineRule="auto"/>
              <w:ind w:firstLine="0" w:firstLineChars="0"/>
              <w:rPr>
                <w:rFonts w:eastAsia="仿宋" w:cs="Times New Roman"/>
                <w:sz w:val="24"/>
                <w:szCs w:val="28"/>
              </w:rPr>
            </w:pPr>
          </w:p>
        </w:tc>
      </w:tr>
      <w:tr w14:paraId="41BFC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325" w:hRule="atLeast"/>
          <w:jc w:val="center"/>
        </w:trPr>
        <w:tc>
          <w:tcPr>
            <w:tcW w:w="966" w:type="dxa"/>
            <w:vMerge w:val="continue"/>
            <w:vAlign w:val="center"/>
          </w:tcPr>
          <w:p w14:paraId="5FCD62F5">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655A4631">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63</w:t>
            </w:r>
          </w:p>
        </w:tc>
        <w:tc>
          <w:tcPr>
            <w:tcW w:w="2738" w:type="dxa"/>
            <w:vAlign w:val="center"/>
          </w:tcPr>
          <w:p w14:paraId="5343A2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不同交易所之间资金划转管理：客户衍生品结算资金汇总账户和客户不同交易所股票期权保证金账户的资金调拨、划转管理</w:t>
            </w:r>
          </w:p>
        </w:tc>
        <w:tc>
          <w:tcPr>
            <w:tcW w:w="1063" w:type="dxa"/>
            <w:vAlign w:val="center"/>
          </w:tcPr>
          <w:p w14:paraId="64CEA28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663F2BD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208142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9E9A3D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333EAFB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6E7E6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9719A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64009AB">
            <w:pPr>
              <w:widowControl w:val="0"/>
              <w:snapToGrid w:val="0"/>
              <w:spacing w:line="240" w:lineRule="auto"/>
              <w:ind w:firstLine="0" w:firstLineChars="0"/>
              <w:rPr>
                <w:rFonts w:eastAsia="仿宋" w:cs="Times New Roman"/>
                <w:sz w:val="24"/>
                <w:szCs w:val="28"/>
              </w:rPr>
            </w:pPr>
          </w:p>
        </w:tc>
      </w:tr>
      <w:tr w14:paraId="03245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796" w:hRule="atLeast"/>
          <w:jc w:val="center"/>
        </w:trPr>
        <w:tc>
          <w:tcPr>
            <w:tcW w:w="966" w:type="dxa"/>
            <w:vMerge w:val="restart"/>
            <w:vAlign w:val="center"/>
          </w:tcPr>
          <w:p w14:paraId="761BBD5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风控业务</w:t>
            </w:r>
          </w:p>
        </w:tc>
        <w:tc>
          <w:tcPr>
            <w:tcW w:w="544" w:type="dxa"/>
            <w:vAlign w:val="center"/>
          </w:tcPr>
          <w:p w14:paraId="213CCC04">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64</w:t>
            </w:r>
          </w:p>
        </w:tc>
        <w:tc>
          <w:tcPr>
            <w:tcW w:w="2738" w:type="dxa"/>
            <w:vAlign w:val="center"/>
          </w:tcPr>
          <w:p w14:paraId="346B7B83">
            <w:pPr>
              <w:snapToGrid w:val="0"/>
              <w:ind w:firstLine="0" w:firstLineChars="0"/>
            </w:pPr>
            <w:r>
              <w:rPr>
                <w:rFonts w:hint="eastAsia" w:eastAsia="仿宋" w:cs="Times New Roman"/>
                <w:sz w:val="24"/>
                <w:szCs w:val="28"/>
              </w:rPr>
              <w:t>期权到期义务方监控：对于快到期的期权合约，验证被行权方是否资金或标的券足额，并进行相关风险警示或要求提高维持保证金。</w:t>
            </w:r>
          </w:p>
        </w:tc>
        <w:tc>
          <w:tcPr>
            <w:tcW w:w="1063" w:type="dxa"/>
            <w:vAlign w:val="center"/>
          </w:tcPr>
          <w:p w14:paraId="1A6E24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0E6A3A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1C57EA8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3CD5E8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28AFB2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751CDF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8567F9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96A03E5">
            <w:pPr>
              <w:widowControl w:val="0"/>
              <w:snapToGrid w:val="0"/>
              <w:spacing w:line="240" w:lineRule="auto"/>
              <w:ind w:firstLine="0" w:firstLineChars="0"/>
              <w:rPr>
                <w:rFonts w:eastAsia="仿宋" w:cs="Times New Roman"/>
                <w:sz w:val="24"/>
                <w:szCs w:val="28"/>
              </w:rPr>
            </w:pPr>
          </w:p>
        </w:tc>
      </w:tr>
      <w:tr w14:paraId="52270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2427FA80">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2CC1B4A7">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65</w:t>
            </w:r>
          </w:p>
        </w:tc>
        <w:tc>
          <w:tcPr>
            <w:tcW w:w="2738" w:type="dxa"/>
            <w:vAlign w:val="center"/>
          </w:tcPr>
          <w:p w14:paraId="1E3C455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合约到期监控：对临近到期日的期权合约进行监控</w:t>
            </w:r>
          </w:p>
        </w:tc>
        <w:tc>
          <w:tcPr>
            <w:tcW w:w="1063" w:type="dxa"/>
            <w:vAlign w:val="center"/>
          </w:tcPr>
          <w:p w14:paraId="093C9F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75BEDDB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364D945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941CB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4C3A993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F14048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DFEA8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D904153">
            <w:pPr>
              <w:widowControl w:val="0"/>
              <w:snapToGrid w:val="0"/>
              <w:spacing w:line="240" w:lineRule="auto"/>
              <w:ind w:firstLine="0" w:firstLineChars="0"/>
              <w:rPr>
                <w:rFonts w:eastAsia="仿宋" w:cs="Times New Roman"/>
                <w:sz w:val="24"/>
                <w:szCs w:val="28"/>
              </w:rPr>
            </w:pPr>
          </w:p>
        </w:tc>
      </w:tr>
      <w:tr w14:paraId="710F0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430" w:hRule="atLeast"/>
          <w:jc w:val="center"/>
        </w:trPr>
        <w:tc>
          <w:tcPr>
            <w:tcW w:w="966" w:type="dxa"/>
            <w:vMerge w:val="continue"/>
            <w:vAlign w:val="center"/>
          </w:tcPr>
          <w:p w14:paraId="3DDC5D87">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9FCEB4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66</w:t>
            </w:r>
          </w:p>
        </w:tc>
        <w:tc>
          <w:tcPr>
            <w:tcW w:w="2738" w:type="dxa"/>
            <w:vAlign w:val="center"/>
          </w:tcPr>
          <w:p w14:paraId="69380D63">
            <w:pPr>
              <w:widowControl w:val="0"/>
              <w:snapToGrid w:val="0"/>
              <w:spacing w:line="240" w:lineRule="auto"/>
              <w:ind w:firstLine="0" w:firstLineChars="0"/>
              <w:rPr>
                <w:rFonts w:hint="eastAsia" w:eastAsia="仿宋" w:cs="Times New Roman"/>
                <w:sz w:val="24"/>
                <w:szCs w:val="28"/>
              </w:rPr>
            </w:pPr>
          </w:p>
          <w:p w14:paraId="06DB81A1">
            <w:pPr>
              <w:snapToGrid w:val="0"/>
              <w:ind w:firstLine="0" w:firstLineChars="0"/>
            </w:pPr>
            <w:r>
              <w:rPr>
                <w:rFonts w:hint="eastAsia" w:eastAsia="仿宋" w:cs="Times New Roman"/>
                <w:sz w:val="24"/>
                <w:szCs w:val="28"/>
              </w:rPr>
              <w:t>支持强平监控及通知：根据中国结算发送的平仓通知书对投资者次日的平仓情况进行监控，并及时通知客户</w:t>
            </w:r>
          </w:p>
        </w:tc>
        <w:tc>
          <w:tcPr>
            <w:tcW w:w="1063" w:type="dxa"/>
            <w:vAlign w:val="center"/>
          </w:tcPr>
          <w:p w14:paraId="2E08A7C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1D18355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44C1F9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0841F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47B8AE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31D08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BCFAD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93AD520">
            <w:pPr>
              <w:widowControl w:val="0"/>
              <w:snapToGrid w:val="0"/>
              <w:spacing w:line="240" w:lineRule="auto"/>
              <w:ind w:firstLine="0" w:firstLineChars="0"/>
              <w:rPr>
                <w:rFonts w:eastAsia="仿宋" w:cs="Times New Roman"/>
                <w:sz w:val="24"/>
                <w:szCs w:val="28"/>
              </w:rPr>
            </w:pPr>
          </w:p>
        </w:tc>
      </w:tr>
      <w:tr w14:paraId="2687A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69B126CE">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C2A917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67</w:t>
            </w:r>
          </w:p>
        </w:tc>
        <w:tc>
          <w:tcPr>
            <w:tcW w:w="2738" w:type="dxa"/>
            <w:vAlign w:val="center"/>
          </w:tcPr>
          <w:p w14:paraId="181B59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强制平仓但未平仓账户监控：对应该平仓但是未平仓的账户监控预警</w:t>
            </w:r>
          </w:p>
        </w:tc>
        <w:tc>
          <w:tcPr>
            <w:tcW w:w="1063" w:type="dxa"/>
            <w:vAlign w:val="center"/>
          </w:tcPr>
          <w:p w14:paraId="6C5493F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03BD22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09D502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BBD51B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38F3D5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D4DE18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FD1B21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1AAAD3AF">
            <w:pPr>
              <w:widowControl w:val="0"/>
              <w:snapToGrid w:val="0"/>
              <w:spacing w:line="240" w:lineRule="auto"/>
              <w:ind w:firstLine="0" w:firstLineChars="0"/>
              <w:rPr>
                <w:rFonts w:eastAsia="仿宋" w:cs="Times New Roman"/>
                <w:sz w:val="24"/>
                <w:szCs w:val="28"/>
              </w:rPr>
            </w:pPr>
          </w:p>
        </w:tc>
      </w:tr>
      <w:tr w14:paraId="2B653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3E6678EF">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7C3A31F3">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68</w:t>
            </w:r>
          </w:p>
        </w:tc>
        <w:tc>
          <w:tcPr>
            <w:tcW w:w="2738" w:type="dxa"/>
            <w:vAlign w:val="center"/>
          </w:tcPr>
          <w:p w14:paraId="5F9B424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合并持仓超限：对所有客户按品种持仓最大数量进行监控</w:t>
            </w:r>
          </w:p>
        </w:tc>
        <w:tc>
          <w:tcPr>
            <w:tcW w:w="1063" w:type="dxa"/>
            <w:vAlign w:val="center"/>
          </w:tcPr>
          <w:p w14:paraId="624A28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20C5B9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3F21F0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4048C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0D8D1FC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A08BC6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C30B4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338C60AB">
            <w:pPr>
              <w:widowControl w:val="0"/>
              <w:snapToGrid w:val="0"/>
              <w:spacing w:line="240" w:lineRule="auto"/>
              <w:ind w:firstLine="0" w:firstLineChars="0"/>
              <w:rPr>
                <w:rFonts w:eastAsia="仿宋" w:cs="Times New Roman"/>
                <w:sz w:val="24"/>
                <w:szCs w:val="28"/>
              </w:rPr>
            </w:pPr>
          </w:p>
        </w:tc>
      </w:tr>
      <w:tr w14:paraId="1E2A9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66031489">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1F37B007">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69</w:t>
            </w:r>
          </w:p>
        </w:tc>
        <w:tc>
          <w:tcPr>
            <w:tcW w:w="2738" w:type="dxa"/>
            <w:vAlign w:val="center"/>
          </w:tcPr>
          <w:p w14:paraId="3668B1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评级越权交易监控：监控客户是否越权交易</w:t>
            </w:r>
          </w:p>
        </w:tc>
        <w:tc>
          <w:tcPr>
            <w:tcW w:w="1063" w:type="dxa"/>
            <w:vAlign w:val="center"/>
          </w:tcPr>
          <w:p w14:paraId="69693F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05A8E3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730" w:type="dxa"/>
            <w:vAlign w:val="center"/>
          </w:tcPr>
          <w:p w14:paraId="3B39375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D0D2A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D2149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11ECB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57251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DAAD7ED">
            <w:pPr>
              <w:widowControl w:val="0"/>
              <w:snapToGrid w:val="0"/>
              <w:spacing w:line="240" w:lineRule="auto"/>
              <w:ind w:firstLine="0" w:firstLineChars="0"/>
              <w:rPr>
                <w:rFonts w:eastAsia="仿宋" w:cs="Times New Roman"/>
                <w:sz w:val="24"/>
                <w:szCs w:val="28"/>
              </w:rPr>
            </w:pPr>
          </w:p>
        </w:tc>
      </w:tr>
      <w:tr w14:paraId="12DC7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643C7DFF">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7FBA8AC8">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70</w:t>
            </w:r>
          </w:p>
        </w:tc>
        <w:tc>
          <w:tcPr>
            <w:tcW w:w="2738" w:type="dxa"/>
            <w:vAlign w:val="center"/>
          </w:tcPr>
          <w:p w14:paraId="326B111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异常交易监控：建立投资者异常交易监控指标，并进行实时监控</w:t>
            </w:r>
          </w:p>
        </w:tc>
        <w:tc>
          <w:tcPr>
            <w:tcW w:w="1063" w:type="dxa"/>
            <w:vAlign w:val="center"/>
          </w:tcPr>
          <w:p w14:paraId="507C8C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52629B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tc>
        <w:tc>
          <w:tcPr>
            <w:tcW w:w="730" w:type="dxa"/>
            <w:vAlign w:val="center"/>
          </w:tcPr>
          <w:p w14:paraId="341A516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0B2B28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27840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A4416A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125157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56B5ADE1">
            <w:pPr>
              <w:widowControl w:val="0"/>
              <w:snapToGrid w:val="0"/>
              <w:spacing w:line="240" w:lineRule="auto"/>
              <w:ind w:firstLine="0" w:firstLineChars="0"/>
              <w:rPr>
                <w:rFonts w:eastAsia="仿宋" w:cs="Times New Roman"/>
                <w:sz w:val="24"/>
                <w:szCs w:val="28"/>
              </w:rPr>
            </w:pPr>
          </w:p>
        </w:tc>
      </w:tr>
      <w:tr w14:paraId="2570C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6" w:type="dxa"/>
            <w:vMerge w:val="continue"/>
            <w:vAlign w:val="center"/>
          </w:tcPr>
          <w:p w14:paraId="2E19941E">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265419D1">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71</w:t>
            </w:r>
          </w:p>
        </w:tc>
        <w:tc>
          <w:tcPr>
            <w:tcW w:w="2738" w:type="dxa"/>
            <w:vAlign w:val="center"/>
          </w:tcPr>
          <w:p w14:paraId="29CDF5A1">
            <w:pPr>
              <w:widowControl w:val="0"/>
              <w:snapToGrid w:val="0"/>
              <w:spacing w:line="240" w:lineRule="auto"/>
              <w:ind w:firstLine="0" w:firstLineChars="0"/>
              <w:rPr>
                <w:rFonts w:hint="eastAsia" w:eastAsia="仿宋" w:cs="Times New Roman"/>
                <w:sz w:val="24"/>
                <w:szCs w:val="28"/>
              </w:rPr>
            </w:pPr>
          </w:p>
          <w:p w14:paraId="036F3561">
            <w:pPr>
              <w:widowControl w:val="0"/>
              <w:snapToGrid w:val="0"/>
              <w:spacing w:line="240" w:lineRule="auto"/>
              <w:ind w:firstLine="0" w:firstLineChars="0"/>
              <w:rPr>
                <w:rFonts w:hint="eastAsia" w:eastAsia="仿宋" w:cs="Times New Roman"/>
                <w:sz w:val="24"/>
                <w:szCs w:val="28"/>
              </w:rPr>
            </w:pPr>
            <w:r>
              <w:rPr>
                <w:rFonts w:hint="eastAsia" w:eastAsia="仿宋" w:cs="Times New Roman"/>
                <w:sz w:val="24"/>
                <w:szCs w:val="28"/>
              </w:rPr>
              <w:t>支持对程序</w:t>
            </w:r>
            <w:r>
              <w:rPr>
                <w:rFonts w:hint="eastAsia" w:eastAsia="仿宋" w:cs="Times New Roman"/>
                <w:sz w:val="24"/>
                <w:szCs w:val="28"/>
                <w:lang w:val="en-US" w:eastAsia="zh-CN"/>
              </w:rPr>
              <w:t>化</w:t>
            </w:r>
            <w:r>
              <w:rPr>
                <w:rFonts w:hint="eastAsia" w:eastAsia="仿宋" w:cs="Times New Roman"/>
                <w:sz w:val="24"/>
                <w:szCs w:val="28"/>
              </w:rPr>
              <w:t>交易账户的实时监控。</w:t>
            </w:r>
          </w:p>
          <w:p w14:paraId="4F247911">
            <w:pPr>
              <w:jc w:val="center"/>
              <w:rPr>
                <w:rFonts w:ascii="Calibri" w:hAnsi="Calibri" w:eastAsia="宋体" w:cs="Times New Roman"/>
                <w:kern w:val="2"/>
                <w:sz w:val="21"/>
                <w:szCs w:val="22"/>
                <w:lang w:val="en-US" w:eastAsia="zh-CN" w:bidi="ar-SA"/>
              </w:rPr>
            </w:pPr>
          </w:p>
        </w:tc>
        <w:tc>
          <w:tcPr>
            <w:tcW w:w="1063" w:type="dxa"/>
            <w:vAlign w:val="center"/>
          </w:tcPr>
          <w:p w14:paraId="5C5F848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76C3B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6E2F00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C372A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0B6B20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7D463C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A04B71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1EFBE9F">
            <w:pPr>
              <w:widowControl w:val="0"/>
              <w:snapToGrid w:val="0"/>
              <w:spacing w:line="240" w:lineRule="auto"/>
              <w:ind w:firstLine="0" w:firstLineChars="0"/>
              <w:rPr>
                <w:rFonts w:eastAsia="仿宋" w:cs="Times New Roman"/>
                <w:sz w:val="24"/>
                <w:szCs w:val="28"/>
              </w:rPr>
            </w:pPr>
          </w:p>
        </w:tc>
      </w:tr>
      <w:tr w14:paraId="07E1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489" w:hRule="atLeast"/>
          <w:jc w:val="center"/>
        </w:trPr>
        <w:tc>
          <w:tcPr>
            <w:tcW w:w="966" w:type="dxa"/>
            <w:vMerge w:val="continue"/>
            <w:vAlign w:val="center"/>
          </w:tcPr>
          <w:p w14:paraId="72085133">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41FF39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72</w:t>
            </w:r>
          </w:p>
        </w:tc>
        <w:tc>
          <w:tcPr>
            <w:tcW w:w="2738" w:type="dxa"/>
            <w:vAlign w:val="center"/>
          </w:tcPr>
          <w:p w14:paraId="18D178AC">
            <w:pPr>
              <w:snapToGrid w:val="0"/>
              <w:ind w:firstLine="0" w:firstLineChars="0"/>
            </w:pPr>
            <w:r>
              <w:rPr>
                <w:rFonts w:hint="eastAsia" w:eastAsia="仿宋" w:cs="Times New Roman"/>
                <w:sz w:val="24"/>
                <w:szCs w:val="28"/>
              </w:rPr>
              <w:t>备兑开仓标的除权除息监控：监控备兑开仓标的因除权除息导致不足时是否提前进行提醒及有预警提示</w:t>
            </w:r>
          </w:p>
        </w:tc>
        <w:tc>
          <w:tcPr>
            <w:tcW w:w="1063" w:type="dxa"/>
            <w:vAlign w:val="center"/>
          </w:tcPr>
          <w:p w14:paraId="370F1F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A3924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5D3F23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A377A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1D54385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3018BD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D5D853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7CCD3AA">
            <w:pPr>
              <w:widowControl w:val="0"/>
              <w:snapToGrid w:val="0"/>
              <w:spacing w:line="240" w:lineRule="auto"/>
              <w:ind w:firstLine="0" w:firstLineChars="0"/>
              <w:rPr>
                <w:rFonts w:eastAsia="仿宋" w:cs="Times New Roman"/>
                <w:sz w:val="24"/>
                <w:szCs w:val="28"/>
              </w:rPr>
            </w:pPr>
          </w:p>
        </w:tc>
      </w:tr>
      <w:tr w14:paraId="5C2E3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2674" w:hRule="atLeast"/>
          <w:jc w:val="center"/>
        </w:trPr>
        <w:tc>
          <w:tcPr>
            <w:tcW w:w="966" w:type="dxa"/>
            <w:vMerge w:val="continue"/>
            <w:vAlign w:val="center"/>
          </w:tcPr>
          <w:p w14:paraId="619DBBD7">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7B3C18D8">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7</w:t>
            </w:r>
            <w:r>
              <w:rPr>
                <w:rFonts w:hint="eastAsia" w:eastAsia="仿宋" w:cs="Times New Roman"/>
                <w:sz w:val="24"/>
                <w:szCs w:val="28"/>
              </w:rPr>
              <w:t>3</w:t>
            </w:r>
          </w:p>
        </w:tc>
        <w:tc>
          <w:tcPr>
            <w:tcW w:w="2738" w:type="dxa"/>
            <w:vAlign w:val="center"/>
          </w:tcPr>
          <w:p w14:paraId="4B920C55">
            <w:pPr>
              <w:snapToGrid w:val="0"/>
              <w:ind w:firstLine="0" w:firstLineChars="0"/>
            </w:pPr>
            <w:r>
              <w:rPr>
                <w:rFonts w:hint="eastAsia" w:eastAsia="仿宋" w:cs="Times New Roman"/>
                <w:sz w:val="24"/>
                <w:szCs w:val="28"/>
              </w:rPr>
              <w:t>支持除权除息日补仓监控及通知：对标的分红、转增、送配股，计算在除权除息日需补足的资券数量，并及时通知客户</w:t>
            </w:r>
          </w:p>
        </w:tc>
        <w:tc>
          <w:tcPr>
            <w:tcW w:w="1063" w:type="dxa"/>
            <w:vAlign w:val="center"/>
          </w:tcPr>
          <w:p w14:paraId="3CEFE81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986" w:type="dxa"/>
            <w:vAlign w:val="center"/>
          </w:tcPr>
          <w:p w14:paraId="5AA720E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730" w:type="dxa"/>
            <w:vAlign w:val="center"/>
          </w:tcPr>
          <w:p w14:paraId="58A53AD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5D03C6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222" w:type="dxa"/>
            <w:vAlign w:val="center"/>
          </w:tcPr>
          <w:p w14:paraId="30AA088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615ACA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88CA64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16D3F36C">
            <w:pPr>
              <w:widowControl w:val="0"/>
              <w:snapToGrid w:val="0"/>
              <w:spacing w:line="240" w:lineRule="auto"/>
              <w:ind w:firstLine="0" w:firstLineChars="0"/>
              <w:rPr>
                <w:rFonts w:eastAsia="仿宋" w:cs="Times New Roman"/>
                <w:sz w:val="24"/>
                <w:szCs w:val="28"/>
              </w:rPr>
            </w:pPr>
          </w:p>
        </w:tc>
      </w:tr>
    </w:tbl>
    <w:p w14:paraId="7361AD02">
      <w:pPr>
        <w:spacing w:line="400" w:lineRule="exact"/>
        <w:ind w:firstLine="0" w:firstLineChars="0"/>
        <w:jc w:val="left"/>
        <w:rPr>
          <w:rFonts w:cs="Times New Roman"/>
          <w:sz w:val="28"/>
          <w:szCs w:val="21"/>
        </w:rPr>
      </w:pPr>
    </w:p>
    <w:p w14:paraId="05372170">
      <w:pPr>
        <w:spacing w:line="400" w:lineRule="exact"/>
        <w:ind w:firstLine="0" w:firstLineChars="0"/>
        <w:jc w:val="left"/>
        <w:rPr>
          <w:rFonts w:cs="Times New Roman"/>
          <w:sz w:val="28"/>
          <w:szCs w:val="21"/>
        </w:rPr>
      </w:pPr>
      <w:r>
        <w:rPr>
          <w:rFonts w:cs="Times New Roman"/>
          <w:sz w:val="28"/>
          <w:szCs w:val="21"/>
        </w:rPr>
        <w:br w:type="page"/>
      </w:r>
    </w:p>
    <w:p w14:paraId="2F0A74F8">
      <w:pPr>
        <w:spacing w:line="400" w:lineRule="exact"/>
        <w:ind w:firstLine="0" w:firstLineChars="0"/>
        <w:jc w:val="left"/>
        <w:rPr>
          <w:rFonts w:cs="Times New Roman"/>
          <w:sz w:val="28"/>
          <w:szCs w:val="21"/>
        </w:rPr>
      </w:pPr>
    </w:p>
    <w:p w14:paraId="3F36192C">
      <w:pPr>
        <w:spacing w:line="400" w:lineRule="exact"/>
        <w:ind w:firstLine="0" w:firstLineChars="0"/>
        <w:jc w:val="center"/>
        <w:rPr>
          <w:rFonts w:eastAsia="楷体" w:cs="Times New Roman"/>
          <w:sz w:val="28"/>
          <w:szCs w:val="21"/>
        </w:rPr>
      </w:pPr>
      <w:bookmarkStart w:id="568" w:name="_Toc57819610"/>
      <w:r>
        <w:rPr>
          <w:rFonts w:hint="eastAsia" w:eastAsia="楷体" w:cs="Times New Roman"/>
          <w:sz w:val="28"/>
          <w:szCs w:val="21"/>
        </w:rPr>
        <w:t>第二部分</w:t>
      </w:r>
      <w:bookmarkEnd w:id="568"/>
    </w:p>
    <w:p w14:paraId="197086FA">
      <w:pPr>
        <w:spacing w:line="400" w:lineRule="exact"/>
        <w:ind w:firstLine="0" w:firstLineChars="0"/>
        <w:jc w:val="center"/>
        <w:rPr>
          <w:rFonts w:hint="eastAsia" w:eastAsia="楷体" w:cs="Times New Roman"/>
          <w:sz w:val="28"/>
          <w:szCs w:val="21"/>
        </w:rPr>
      </w:pPr>
      <w:bookmarkStart w:id="569" w:name="_Toc57819611"/>
      <w:r>
        <w:rPr>
          <w:rFonts w:hint="eastAsia" w:eastAsia="楷体" w:cs="Times New Roman"/>
          <w:sz w:val="28"/>
          <w:szCs w:val="21"/>
        </w:rPr>
        <w:t>期货公司现货经纪业务就绪情况检查</w:t>
      </w:r>
      <w:bookmarkEnd w:id="569"/>
    </w:p>
    <w:p w14:paraId="204BBF01">
      <w:pPr>
        <w:pStyle w:val="2"/>
      </w:pPr>
    </w:p>
    <w:p w14:paraId="0CF6DE12">
      <w:pPr>
        <w:spacing w:line="400" w:lineRule="exact"/>
        <w:ind w:firstLine="0" w:firstLineChars="0"/>
        <w:rPr>
          <w:rFonts w:eastAsia="黑体" w:cs="Times New Roman"/>
          <w:sz w:val="28"/>
          <w:szCs w:val="24"/>
        </w:rPr>
      </w:pPr>
      <w:bookmarkStart w:id="570" w:name="_Toc57819612"/>
      <w:r>
        <w:rPr>
          <w:rFonts w:hint="eastAsia" w:eastAsia="黑体" w:cs="Times New Roman"/>
          <w:sz w:val="28"/>
          <w:szCs w:val="24"/>
        </w:rPr>
        <w:t>一、基本要求</w:t>
      </w:r>
      <w:bookmarkEnd w:id="570"/>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104"/>
        <w:gridCol w:w="552"/>
        <w:gridCol w:w="2342"/>
        <w:gridCol w:w="1100"/>
        <w:gridCol w:w="2069"/>
        <w:gridCol w:w="965"/>
        <w:gridCol w:w="1379"/>
        <w:gridCol w:w="553"/>
      </w:tblGrid>
      <w:tr w14:paraId="09E81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104" w:type="dxa"/>
            <w:vMerge w:val="restart"/>
            <w:vAlign w:val="center"/>
          </w:tcPr>
          <w:p w14:paraId="75B2035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52" w:type="dxa"/>
            <w:vMerge w:val="restart"/>
            <w:vAlign w:val="center"/>
          </w:tcPr>
          <w:p w14:paraId="4936562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342" w:type="dxa"/>
            <w:vMerge w:val="restart"/>
            <w:vAlign w:val="center"/>
          </w:tcPr>
          <w:p w14:paraId="4492F4D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100" w:type="dxa"/>
            <w:vMerge w:val="restart"/>
            <w:vAlign w:val="center"/>
          </w:tcPr>
          <w:p w14:paraId="54C7FFE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069" w:type="dxa"/>
            <w:vMerge w:val="restart"/>
            <w:vAlign w:val="center"/>
          </w:tcPr>
          <w:p w14:paraId="17B0F6F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2897" w:type="dxa"/>
            <w:gridSpan w:val="3"/>
            <w:vAlign w:val="center"/>
          </w:tcPr>
          <w:p w14:paraId="7AFE53F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18EF8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104" w:type="dxa"/>
            <w:vMerge w:val="continue"/>
            <w:tcBorders>
              <w:bottom w:val="single" w:color="auto" w:sz="4" w:space="0"/>
            </w:tcBorders>
            <w:vAlign w:val="center"/>
          </w:tcPr>
          <w:p w14:paraId="26F2908B">
            <w:pPr>
              <w:widowControl w:val="0"/>
              <w:snapToGrid w:val="0"/>
              <w:spacing w:line="240" w:lineRule="auto"/>
              <w:ind w:firstLine="0" w:firstLineChars="0"/>
              <w:jc w:val="center"/>
              <w:rPr>
                <w:rFonts w:eastAsia="仿宋" w:cs="Times New Roman"/>
                <w:b/>
                <w:sz w:val="24"/>
                <w:szCs w:val="28"/>
              </w:rPr>
            </w:pPr>
          </w:p>
        </w:tc>
        <w:tc>
          <w:tcPr>
            <w:tcW w:w="552" w:type="dxa"/>
            <w:vMerge w:val="continue"/>
            <w:vAlign w:val="center"/>
          </w:tcPr>
          <w:p w14:paraId="429FF292">
            <w:pPr>
              <w:widowControl w:val="0"/>
              <w:snapToGrid w:val="0"/>
              <w:spacing w:line="240" w:lineRule="auto"/>
              <w:ind w:firstLine="0" w:firstLineChars="0"/>
              <w:jc w:val="center"/>
              <w:rPr>
                <w:rFonts w:eastAsia="仿宋" w:cs="Times New Roman"/>
                <w:b/>
                <w:sz w:val="24"/>
                <w:szCs w:val="28"/>
              </w:rPr>
            </w:pPr>
          </w:p>
        </w:tc>
        <w:tc>
          <w:tcPr>
            <w:tcW w:w="2342" w:type="dxa"/>
            <w:vMerge w:val="continue"/>
            <w:vAlign w:val="center"/>
          </w:tcPr>
          <w:p w14:paraId="0D29AF39">
            <w:pPr>
              <w:widowControl w:val="0"/>
              <w:snapToGrid w:val="0"/>
              <w:spacing w:line="240" w:lineRule="auto"/>
              <w:ind w:firstLine="0" w:firstLineChars="0"/>
              <w:jc w:val="center"/>
              <w:rPr>
                <w:rFonts w:eastAsia="仿宋" w:cs="Times New Roman"/>
                <w:b/>
                <w:sz w:val="24"/>
                <w:szCs w:val="28"/>
              </w:rPr>
            </w:pPr>
          </w:p>
        </w:tc>
        <w:tc>
          <w:tcPr>
            <w:tcW w:w="1100" w:type="dxa"/>
            <w:vMerge w:val="continue"/>
            <w:vAlign w:val="center"/>
          </w:tcPr>
          <w:p w14:paraId="1333CB91">
            <w:pPr>
              <w:widowControl w:val="0"/>
              <w:snapToGrid w:val="0"/>
              <w:spacing w:line="240" w:lineRule="auto"/>
              <w:ind w:firstLine="0" w:firstLineChars="0"/>
              <w:jc w:val="center"/>
              <w:rPr>
                <w:rFonts w:eastAsia="仿宋" w:cs="Times New Roman"/>
                <w:b/>
                <w:sz w:val="24"/>
                <w:szCs w:val="28"/>
              </w:rPr>
            </w:pPr>
          </w:p>
        </w:tc>
        <w:tc>
          <w:tcPr>
            <w:tcW w:w="2069" w:type="dxa"/>
            <w:vMerge w:val="continue"/>
            <w:vAlign w:val="center"/>
          </w:tcPr>
          <w:p w14:paraId="45153372">
            <w:pPr>
              <w:widowControl w:val="0"/>
              <w:snapToGrid w:val="0"/>
              <w:spacing w:line="240" w:lineRule="auto"/>
              <w:ind w:firstLine="0" w:firstLineChars="0"/>
              <w:jc w:val="center"/>
              <w:rPr>
                <w:rFonts w:eastAsia="仿宋" w:cs="Times New Roman"/>
                <w:b/>
                <w:sz w:val="24"/>
                <w:szCs w:val="28"/>
              </w:rPr>
            </w:pPr>
          </w:p>
        </w:tc>
        <w:tc>
          <w:tcPr>
            <w:tcW w:w="965" w:type="dxa"/>
            <w:vAlign w:val="center"/>
          </w:tcPr>
          <w:p w14:paraId="596377F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379" w:type="dxa"/>
            <w:vAlign w:val="center"/>
          </w:tcPr>
          <w:p w14:paraId="57FE8A4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553" w:type="dxa"/>
            <w:vAlign w:val="center"/>
          </w:tcPr>
          <w:p w14:paraId="5B0CE66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6A2BA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104" w:type="dxa"/>
            <w:vAlign w:val="center"/>
          </w:tcPr>
          <w:p w14:paraId="382F5A4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组织架构</w:t>
            </w:r>
          </w:p>
        </w:tc>
        <w:tc>
          <w:tcPr>
            <w:tcW w:w="552" w:type="dxa"/>
            <w:vAlign w:val="center"/>
          </w:tcPr>
          <w:p w14:paraId="0BA62E08">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w:t>
            </w:r>
          </w:p>
        </w:tc>
        <w:tc>
          <w:tcPr>
            <w:tcW w:w="2342" w:type="dxa"/>
            <w:vAlign w:val="center"/>
          </w:tcPr>
          <w:p w14:paraId="0140A8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从事股票期权相关现货业务的证券经纪业务部门岗位设置，包括但不限于运行管理岗、系统维护岗、资金管理岗等</w:t>
            </w:r>
          </w:p>
        </w:tc>
        <w:tc>
          <w:tcPr>
            <w:tcW w:w="1100" w:type="dxa"/>
            <w:vAlign w:val="center"/>
          </w:tcPr>
          <w:p w14:paraId="287F78F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69" w:type="dxa"/>
            <w:vAlign w:val="center"/>
          </w:tcPr>
          <w:p w14:paraId="3D50A0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593014D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49CB9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2B91AA3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E3B12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B3397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554C4623">
            <w:pPr>
              <w:widowControl w:val="0"/>
              <w:snapToGrid w:val="0"/>
              <w:spacing w:line="240" w:lineRule="auto"/>
              <w:ind w:firstLine="0" w:firstLineChars="0"/>
              <w:rPr>
                <w:rFonts w:eastAsia="仿宋" w:cs="Times New Roman"/>
                <w:sz w:val="24"/>
                <w:szCs w:val="28"/>
              </w:rPr>
            </w:pPr>
          </w:p>
        </w:tc>
      </w:tr>
      <w:tr w14:paraId="47E70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104" w:type="dxa"/>
            <w:vMerge w:val="restart"/>
            <w:vAlign w:val="center"/>
          </w:tcPr>
          <w:p w14:paraId="26B29AC6">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制度与规则</w:t>
            </w:r>
          </w:p>
          <w:p w14:paraId="2CE852C1">
            <w:pPr>
              <w:widowControl w:val="0"/>
              <w:snapToGrid w:val="0"/>
              <w:spacing w:line="240" w:lineRule="auto"/>
              <w:ind w:firstLine="0" w:firstLineChars="0"/>
              <w:jc w:val="center"/>
              <w:rPr>
                <w:rFonts w:eastAsia="仿宋" w:cs="Times New Roman"/>
                <w:b/>
                <w:sz w:val="24"/>
                <w:szCs w:val="28"/>
              </w:rPr>
            </w:pPr>
          </w:p>
        </w:tc>
        <w:tc>
          <w:tcPr>
            <w:tcW w:w="552" w:type="dxa"/>
            <w:vAlign w:val="center"/>
          </w:tcPr>
          <w:p w14:paraId="67BB922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w:t>
            </w:r>
          </w:p>
        </w:tc>
        <w:tc>
          <w:tcPr>
            <w:tcW w:w="2342" w:type="dxa"/>
            <w:vAlign w:val="center"/>
          </w:tcPr>
          <w:p w14:paraId="21E1B1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建立现货业务相关制度。（包括但不限于客户管理、投资者教育、</w:t>
            </w:r>
            <w:r>
              <w:rPr>
                <w:rFonts w:eastAsia="仿宋" w:cs="Times New Roman"/>
                <w:sz w:val="24"/>
                <w:szCs w:val="28"/>
              </w:rPr>
              <w:t>交易管理、账户管理、风险</w:t>
            </w:r>
            <w:r>
              <w:rPr>
                <w:rFonts w:hint="eastAsia" w:eastAsia="仿宋" w:cs="Times New Roman"/>
                <w:sz w:val="24"/>
                <w:szCs w:val="28"/>
              </w:rPr>
              <w:t>管理等方面）</w:t>
            </w:r>
          </w:p>
        </w:tc>
        <w:tc>
          <w:tcPr>
            <w:tcW w:w="1100" w:type="dxa"/>
            <w:vAlign w:val="center"/>
          </w:tcPr>
          <w:p w14:paraId="6A65B64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69" w:type="dxa"/>
            <w:vAlign w:val="center"/>
          </w:tcPr>
          <w:p w14:paraId="5B0EC13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6018669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324FE2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5D381B8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C85DF3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6D0350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3C8EA89B">
            <w:pPr>
              <w:widowControl w:val="0"/>
              <w:snapToGrid w:val="0"/>
              <w:spacing w:line="240" w:lineRule="auto"/>
              <w:ind w:firstLine="0" w:firstLineChars="0"/>
              <w:rPr>
                <w:rFonts w:eastAsia="仿宋" w:cs="Times New Roman"/>
                <w:sz w:val="24"/>
                <w:szCs w:val="28"/>
              </w:rPr>
            </w:pPr>
          </w:p>
        </w:tc>
      </w:tr>
      <w:tr w14:paraId="70855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104" w:type="dxa"/>
            <w:vMerge w:val="continue"/>
            <w:vAlign w:val="center"/>
          </w:tcPr>
          <w:p w14:paraId="0507F3D2">
            <w:pPr>
              <w:widowControl w:val="0"/>
              <w:snapToGrid w:val="0"/>
              <w:spacing w:line="240" w:lineRule="auto"/>
              <w:ind w:firstLine="0" w:firstLineChars="0"/>
              <w:jc w:val="center"/>
              <w:rPr>
                <w:rFonts w:eastAsia="仿宋" w:cs="Times New Roman"/>
                <w:b/>
                <w:sz w:val="24"/>
                <w:szCs w:val="28"/>
              </w:rPr>
            </w:pPr>
          </w:p>
        </w:tc>
        <w:tc>
          <w:tcPr>
            <w:tcW w:w="552" w:type="dxa"/>
            <w:vAlign w:val="center"/>
          </w:tcPr>
          <w:p w14:paraId="1D21797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p>
        </w:tc>
        <w:tc>
          <w:tcPr>
            <w:tcW w:w="2342" w:type="dxa"/>
            <w:vAlign w:val="center"/>
          </w:tcPr>
          <w:p w14:paraId="283C6F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具备现货经纪合同、风险揭示书、</w:t>
            </w:r>
            <w:r>
              <w:rPr>
                <w:rFonts w:eastAsia="仿宋" w:cs="Times New Roman"/>
                <w:sz w:val="24"/>
                <w:szCs w:val="28"/>
              </w:rPr>
              <w:t>开户申请表</w:t>
            </w:r>
            <w:r>
              <w:rPr>
                <w:rFonts w:hint="eastAsia" w:eastAsia="仿宋" w:cs="Times New Roman"/>
                <w:sz w:val="24"/>
                <w:szCs w:val="28"/>
              </w:rPr>
              <w:t>等</w:t>
            </w:r>
          </w:p>
        </w:tc>
        <w:tc>
          <w:tcPr>
            <w:tcW w:w="1100" w:type="dxa"/>
            <w:vAlign w:val="center"/>
          </w:tcPr>
          <w:p w14:paraId="31892D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69" w:type="dxa"/>
            <w:vAlign w:val="center"/>
          </w:tcPr>
          <w:p w14:paraId="76917B7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463ABC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66067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4B614B2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E8C31A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35935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606DD4B0">
            <w:pPr>
              <w:widowControl w:val="0"/>
              <w:snapToGrid w:val="0"/>
              <w:spacing w:line="240" w:lineRule="auto"/>
              <w:ind w:firstLine="0" w:firstLineChars="0"/>
              <w:rPr>
                <w:rFonts w:eastAsia="仿宋" w:cs="Times New Roman"/>
                <w:sz w:val="24"/>
                <w:szCs w:val="28"/>
              </w:rPr>
            </w:pPr>
          </w:p>
        </w:tc>
      </w:tr>
      <w:tr w14:paraId="54429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104" w:type="dxa"/>
            <w:vMerge w:val="continue"/>
            <w:vAlign w:val="center"/>
          </w:tcPr>
          <w:p w14:paraId="46F83AEA">
            <w:pPr>
              <w:widowControl w:val="0"/>
              <w:snapToGrid w:val="0"/>
              <w:spacing w:line="240" w:lineRule="auto"/>
              <w:ind w:firstLine="0" w:firstLineChars="0"/>
              <w:jc w:val="center"/>
              <w:rPr>
                <w:rFonts w:eastAsia="仿宋" w:cs="Times New Roman"/>
                <w:b/>
                <w:sz w:val="24"/>
                <w:szCs w:val="28"/>
              </w:rPr>
            </w:pPr>
          </w:p>
        </w:tc>
        <w:tc>
          <w:tcPr>
            <w:tcW w:w="552" w:type="dxa"/>
            <w:vAlign w:val="center"/>
          </w:tcPr>
          <w:p w14:paraId="3BF90CE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p>
        </w:tc>
        <w:tc>
          <w:tcPr>
            <w:tcW w:w="2342" w:type="dxa"/>
            <w:vAlign w:val="center"/>
          </w:tcPr>
          <w:p w14:paraId="5C7006D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分支机构业务管理</w:t>
            </w:r>
          </w:p>
        </w:tc>
        <w:tc>
          <w:tcPr>
            <w:tcW w:w="1100" w:type="dxa"/>
            <w:vAlign w:val="center"/>
          </w:tcPr>
          <w:p w14:paraId="50C2CC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69" w:type="dxa"/>
            <w:vAlign w:val="center"/>
          </w:tcPr>
          <w:p w14:paraId="5C39BF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2E6A13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68753E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00A9AA7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7FE6FC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711F9A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17A29BE0">
            <w:pPr>
              <w:widowControl w:val="0"/>
              <w:snapToGrid w:val="0"/>
              <w:spacing w:line="240" w:lineRule="auto"/>
              <w:ind w:firstLine="0" w:firstLineChars="0"/>
              <w:rPr>
                <w:rFonts w:eastAsia="仿宋" w:cs="Times New Roman"/>
                <w:sz w:val="24"/>
                <w:szCs w:val="28"/>
              </w:rPr>
            </w:pPr>
          </w:p>
        </w:tc>
      </w:tr>
      <w:tr w14:paraId="428CF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104" w:type="dxa"/>
            <w:vMerge w:val="continue"/>
            <w:vAlign w:val="center"/>
          </w:tcPr>
          <w:p w14:paraId="1ABE71E5">
            <w:pPr>
              <w:widowControl w:val="0"/>
              <w:snapToGrid w:val="0"/>
              <w:spacing w:line="240" w:lineRule="auto"/>
              <w:ind w:firstLine="0" w:firstLineChars="0"/>
              <w:jc w:val="center"/>
              <w:rPr>
                <w:rFonts w:eastAsia="仿宋" w:cs="Times New Roman"/>
                <w:b/>
                <w:sz w:val="24"/>
                <w:szCs w:val="28"/>
              </w:rPr>
            </w:pPr>
          </w:p>
        </w:tc>
        <w:tc>
          <w:tcPr>
            <w:tcW w:w="552" w:type="dxa"/>
            <w:vAlign w:val="center"/>
          </w:tcPr>
          <w:p w14:paraId="172413D8">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5</w:t>
            </w:r>
          </w:p>
        </w:tc>
        <w:tc>
          <w:tcPr>
            <w:tcW w:w="2342" w:type="dxa"/>
            <w:vAlign w:val="center"/>
          </w:tcPr>
          <w:p w14:paraId="5E19FB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建立现货标的异常</w:t>
            </w:r>
            <w:r>
              <w:rPr>
                <w:rFonts w:eastAsia="仿宋" w:cs="Times New Roman"/>
                <w:sz w:val="24"/>
                <w:szCs w:val="28"/>
              </w:rPr>
              <w:t>交易</w:t>
            </w:r>
            <w:r>
              <w:rPr>
                <w:rFonts w:hint="eastAsia" w:eastAsia="仿宋" w:cs="Times New Roman"/>
                <w:sz w:val="24"/>
                <w:szCs w:val="28"/>
              </w:rPr>
              <w:t>管理制度。</w:t>
            </w:r>
          </w:p>
        </w:tc>
        <w:tc>
          <w:tcPr>
            <w:tcW w:w="1100" w:type="dxa"/>
            <w:vAlign w:val="center"/>
          </w:tcPr>
          <w:p w14:paraId="25C0A9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69" w:type="dxa"/>
            <w:vAlign w:val="center"/>
          </w:tcPr>
          <w:p w14:paraId="6B4541D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65" w:type="dxa"/>
            <w:vAlign w:val="center"/>
          </w:tcPr>
          <w:p w14:paraId="5AFAEE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789789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79" w:type="dxa"/>
            <w:vAlign w:val="center"/>
          </w:tcPr>
          <w:p w14:paraId="1FE476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A9FFC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69B31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3" w:type="dxa"/>
            <w:vAlign w:val="center"/>
          </w:tcPr>
          <w:p w14:paraId="0AB7A6F6">
            <w:pPr>
              <w:widowControl w:val="0"/>
              <w:snapToGrid w:val="0"/>
              <w:spacing w:line="240" w:lineRule="auto"/>
              <w:ind w:firstLine="0" w:firstLineChars="0"/>
              <w:rPr>
                <w:rFonts w:eastAsia="仿宋" w:cs="Times New Roman"/>
                <w:sz w:val="24"/>
                <w:szCs w:val="28"/>
              </w:rPr>
            </w:pPr>
          </w:p>
        </w:tc>
      </w:tr>
    </w:tbl>
    <w:p w14:paraId="33E5D844">
      <w:pPr>
        <w:spacing w:line="400" w:lineRule="exact"/>
        <w:ind w:firstLine="0" w:firstLineChars="0"/>
        <w:jc w:val="left"/>
        <w:rPr>
          <w:rFonts w:cs="Times New Roman"/>
          <w:bCs/>
          <w:sz w:val="28"/>
          <w:szCs w:val="21"/>
        </w:rPr>
      </w:pPr>
    </w:p>
    <w:p w14:paraId="13A68937">
      <w:pPr>
        <w:spacing w:line="400" w:lineRule="exact"/>
        <w:ind w:firstLine="0" w:firstLineChars="0"/>
        <w:rPr>
          <w:rFonts w:eastAsia="黑体" w:cs="Times New Roman"/>
          <w:sz w:val="28"/>
          <w:szCs w:val="24"/>
        </w:rPr>
      </w:pPr>
      <w:r>
        <w:rPr>
          <w:rFonts w:hint="eastAsia" w:eastAsia="黑体" w:cs="Times New Roman"/>
          <w:sz w:val="28"/>
          <w:szCs w:val="24"/>
        </w:rPr>
        <w:t>二、功能要求</w:t>
      </w:r>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967"/>
        <w:gridCol w:w="544"/>
        <w:gridCol w:w="2578"/>
        <w:gridCol w:w="1009"/>
        <w:gridCol w:w="1843"/>
        <w:gridCol w:w="951"/>
        <w:gridCol w:w="1357"/>
        <w:gridCol w:w="815"/>
      </w:tblGrid>
      <w:tr w14:paraId="07169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967" w:type="dxa"/>
            <w:vMerge w:val="restart"/>
            <w:vAlign w:val="center"/>
          </w:tcPr>
          <w:p w14:paraId="76EAB4A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44" w:type="dxa"/>
            <w:vMerge w:val="restart"/>
            <w:vAlign w:val="center"/>
          </w:tcPr>
          <w:p w14:paraId="25217B4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578" w:type="dxa"/>
            <w:vMerge w:val="restart"/>
            <w:vAlign w:val="center"/>
          </w:tcPr>
          <w:p w14:paraId="1083428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009" w:type="dxa"/>
            <w:vMerge w:val="restart"/>
            <w:vAlign w:val="center"/>
          </w:tcPr>
          <w:p w14:paraId="169B6EC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1843" w:type="dxa"/>
            <w:vMerge w:val="restart"/>
            <w:vAlign w:val="center"/>
          </w:tcPr>
          <w:p w14:paraId="63F4FA2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3123" w:type="dxa"/>
            <w:gridSpan w:val="3"/>
            <w:vAlign w:val="center"/>
          </w:tcPr>
          <w:p w14:paraId="482D25F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3C596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967" w:type="dxa"/>
            <w:vMerge w:val="continue"/>
            <w:vAlign w:val="center"/>
          </w:tcPr>
          <w:p w14:paraId="08538FAA">
            <w:pPr>
              <w:widowControl w:val="0"/>
              <w:snapToGrid w:val="0"/>
              <w:spacing w:line="240" w:lineRule="auto"/>
              <w:ind w:firstLine="0" w:firstLineChars="0"/>
              <w:jc w:val="center"/>
              <w:rPr>
                <w:rFonts w:eastAsia="仿宋" w:cs="Times New Roman"/>
                <w:b/>
                <w:sz w:val="24"/>
                <w:szCs w:val="28"/>
              </w:rPr>
            </w:pPr>
          </w:p>
        </w:tc>
        <w:tc>
          <w:tcPr>
            <w:tcW w:w="544" w:type="dxa"/>
            <w:vMerge w:val="continue"/>
            <w:vAlign w:val="center"/>
          </w:tcPr>
          <w:p w14:paraId="08BB312C">
            <w:pPr>
              <w:widowControl w:val="0"/>
              <w:snapToGrid w:val="0"/>
              <w:spacing w:line="240" w:lineRule="auto"/>
              <w:ind w:firstLine="0" w:firstLineChars="0"/>
              <w:jc w:val="center"/>
              <w:rPr>
                <w:rFonts w:eastAsia="仿宋" w:cs="Times New Roman"/>
                <w:b/>
                <w:sz w:val="24"/>
                <w:szCs w:val="28"/>
              </w:rPr>
            </w:pPr>
          </w:p>
        </w:tc>
        <w:tc>
          <w:tcPr>
            <w:tcW w:w="2578" w:type="dxa"/>
            <w:vMerge w:val="continue"/>
            <w:vAlign w:val="center"/>
          </w:tcPr>
          <w:p w14:paraId="105A123F">
            <w:pPr>
              <w:widowControl w:val="0"/>
              <w:snapToGrid w:val="0"/>
              <w:spacing w:line="240" w:lineRule="auto"/>
              <w:ind w:firstLine="0" w:firstLineChars="0"/>
              <w:jc w:val="center"/>
              <w:rPr>
                <w:rFonts w:eastAsia="仿宋" w:cs="Times New Roman"/>
                <w:b/>
                <w:sz w:val="24"/>
                <w:szCs w:val="28"/>
              </w:rPr>
            </w:pPr>
          </w:p>
        </w:tc>
        <w:tc>
          <w:tcPr>
            <w:tcW w:w="1009" w:type="dxa"/>
            <w:vMerge w:val="continue"/>
            <w:vAlign w:val="center"/>
          </w:tcPr>
          <w:p w14:paraId="6A7AA345">
            <w:pPr>
              <w:widowControl w:val="0"/>
              <w:snapToGrid w:val="0"/>
              <w:spacing w:line="240" w:lineRule="auto"/>
              <w:ind w:firstLine="0" w:firstLineChars="0"/>
              <w:jc w:val="center"/>
              <w:rPr>
                <w:rFonts w:eastAsia="仿宋" w:cs="Times New Roman"/>
                <w:b/>
                <w:sz w:val="24"/>
                <w:szCs w:val="28"/>
              </w:rPr>
            </w:pPr>
          </w:p>
        </w:tc>
        <w:tc>
          <w:tcPr>
            <w:tcW w:w="1843" w:type="dxa"/>
            <w:vMerge w:val="continue"/>
            <w:vAlign w:val="center"/>
          </w:tcPr>
          <w:p w14:paraId="7DD68A98">
            <w:pPr>
              <w:widowControl w:val="0"/>
              <w:snapToGrid w:val="0"/>
              <w:spacing w:line="240" w:lineRule="auto"/>
              <w:ind w:firstLine="0" w:firstLineChars="0"/>
              <w:jc w:val="center"/>
              <w:rPr>
                <w:rFonts w:eastAsia="仿宋" w:cs="Times New Roman"/>
                <w:b/>
                <w:sz w:val="24"/>
                <w:szCs w:val="28"/>
              </w:rPr>
            </w:pPr>
          </w:p>
        </w:tc>
        <w:tc>
          <w:tcPr>
            <w:tcW w:w="951" w:type="dxa"/>
            <w:vAlign w:val="center"/>
          </w:tcPr>
          <w:p w14:paraId="2A8FE51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357" w:type="dxa"/>
            <w:vAlign w:val="center"/>
          </w:tcPr>
          <w:p w14:paraId="6D53ED7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815" w:type="dxa"/>
            <w:vAlign w:val="center"/>
          </w:tcPr>
          <w:p w14:paraId="47CA70E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02182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restart"/>
            <w:vAlign w:val="center"/>
          </w:tcPr>
          <w:p w14:paraId="4D17D8A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账户管理</w:t>
            </w:r>
          </w:p>
        </w:tc>
        <w:tc>
          <w:tcPr>
            <w:tcW w:w="544" w:type="dxa"/>
            <w:vAlign w:val="center"/>
          </w:tcPr>
          <w:p w14:paraId="26E00CC9">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6</w:t>
            </w:r>
          </w:p>
        </w:tc>
        <w:tc>
          <w:tcPr>
            <w:tcW w:w="2578" w:type="dxa"/>
            <w:vAlign w:val="center"/>
          </w:tcPr>
          <w:p w14:paraId="7C574DB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支持投资者现货账户开户，</w:t>
            </w:r>
            <w:r>
              <w:rPr>
                <w:rFonts w:eastAsia="仿宋" w:cs="Times New Roman"/>
                <w:sz w:val="24"/>
                <w:szCs w:val="28"/>
              </w:rPr>
              <w:t>确保</w:t>
            </w:r>
            <w:r>
              <w:rPr>
                <w:rFonts w:hint="eastAsia" w:eastAsia="仿宋" w:cs="Times New Roman"/>
                <w:sz w:val="24"/>
                <w:szCs w:val="28"/>
              </w:rPr>
              <w:t>衍生品</w:t>
            </w:r>
            <w:r>
              <w:rPr>
                <w:rFonts w:eastAsia="仿宋" w:cs="Times New Roman"/>
                <w:sz w:val="24"/>
                <w:szCs w:val="28"/>
              </w:rPr>
              <w:t>账户开立前不发生现货交易</w:t>
            </w:r>
          </w:p>
        </w:tc>
        <w:tc>
          <w:tcPr>
            <w:tcW w:w="1009" w:type="dxa"/>
            <w:vAlign w:val="center"/>
          </w:tcPr>
          <w:p w14:paraId="3C4E39E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200F4E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0632E08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8DB98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4B6890C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5869A6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7DF1EA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5A83C24">
            <w:pPr>
              <w:widowControl w:val="0"/>
              <w:snapToGrid w:val="0"/>
              <w:spacing w:line="240" w:lineRule="auto"/>
              <w:ind w:firstLine="0" w:firstLineChars="0"/>
              <w:rPr>
                <w:rFonts w:eastAsia="仿宋" w:cs="Times New Roman"/>
                <w:sz w:val="24"/>
                <w:szCs w:val="28"/>
              </w:rPr>
            </w:pPr>
          </w:p>
        </w:tc>
      </w:tr>
      <w:tr w14:paraId="48BD2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74F0CB48">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54B38A7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7</w:t>
            </w:r>
          </w:p>
        </w:tc>
        <w:tc>
          <w:tcPr>
            <w:tcW w:w="2578" w:type="dxa"/>
            <w:vAlign w:val="center"/>
          </w:tcPr>
          <w:p w14:paraId="06D495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开立账户：实名制校验、</w:t>
            </w:r>
            <w:r>
              <w:rPr>
                <w:rFonts w:eastAsia="仿宋" w:cs="Times New Roman"/>
                <w:sz w:val="24"/>
                <w:szCs w:val="28"/>
              </w:rPr>
              <w:t>账户管理、交易权限</w:t>
            </w:r>
            <w:r>
              <w:rPr>
                <w:rFonts w:hint="eastAsia" w:eastAsia="仿宋" w:cs="Times New Roman"/>
                <w:sz w:val="24"/>
                <w:szCs w:val="28"/>
              </w:rPr>
              <w:t>等环节</w:t>
            </w:r>
          </w:p>
        </w:tc>
        <w:tc>
          <w:tcPr>
            <w:tcW w:w="1009" w:type="dxa"/>
            <w:vAlign w:val="center"/>
          </w:tcPr>
          <w:p w14:paraId="246DDEA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2602E3C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57E893C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07AB8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4F01F3B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8F0276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0234A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4F07B75">
            <w:pPr>
              <w:widowControl w:val="0"/>
              <w:snapToGrid w:val="0"/>
              <w:spacing w:line="240" w:lineRule="auto"/>
              <w:ind w:firstLine="0" w:firstLineChars="0"/>
              <w:rPr>
                <w:rFonts w:eastAsia="仿宋" w:cs="Times New Roman"/>
                <w:sz w:val="24"/>
                <w:szCs w:val="28"/>
              </w:rPr>
            </w:pPr>
          </w:p>
        </w:tc>
      </w:tr>
      <w:tr w14:paraId="47C7C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1CC45B4D">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33EF599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8</w:t>
            </w:r>
          </w:p>
        </w:tc>
        <w:tc>
          <w:tcPr>
            <w:tcW w:w="2578" w:type="dxa"/>
            <w:vAlign w:val="center"/>
          </w:tcPr>
          <w:p w14:paraId="004BB2D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支持现货指定交易、撤销指定交易</w:t>
            </w:r>
          </w:p>
        </w:tc>
        <w:tc>
          <w:tcPr>
            <w:tcW w:w="1009" w:type="dxa"/>
            <w:vAlign w:val="center"/>
          </w:tcPr>
          <w:p w14:paraId="7317DD0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758765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664745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746B3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4E55FF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42F066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B15A5C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78860055">
            <w:pPr>
              <w:widowControl w:val="0"/>
              <w:snapToGrid w:val="0"/>
              <w:spacing w:line="240" w:lineRule="auto"/>
              <w:ind w:firstLine="0" w:firstLineChars="0"/>
              <w:rPr>
                <w:rFonts w:eastAsia="仿宋" w:cs="Times New Roman"/>
                <w:sz w:val="24"/>
                <w:szCs w:val="28"/>
              </w:rPr>
            </w:pPr>
          </w:p>
        </w:tc>
      </w:tr>
      <w:tr w14:paraId="4FC33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5648ADF5">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3D466978">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9</w:t>
            </w:r>
          </w:p>
        </w:tc>
        <w:tc>
          <w:tcPr>
            <w:tcW w:w="2578" w:type="dxa"/>
            <w:vAlign w:val="center"/>
          </w:tcPr>
          <w:p w14:paraId="5148F5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具有投资者影像档案管理功能</w:t>
            </w:r>
          </w:p>
        </w:tc>
        <w:tc>
          <w:tcPr>
            <w:tcW w:w="1009" w:type="dxa"/>
            <w:vAlign w:val="center"/>
          </w:tcPr>
          <w:p w14:paraId="770A0E0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57C87B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41426B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C1A235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01C9877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B5E73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189EFA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3BB9EAE">
            <w:pPr>
              <w:widowControl w:val="0"/>
              <w:snapToGrid w:val="0"/>
              <w:spacing w:line="240" w:lineRule="auto"/>
              <w:ind w:firstLine="0" w:firstLineChars="0"/>
              <w:rPr>
                <w:rFonts w:eastAsia="仿宋" w:cs="Times New Roman"/>
                <w:sz w:val="24"/>
                <w:szCs w:val="28"/>
              </w:rPr>
            </w:pPr>
          </w:p>
        </w:tc>
      </w:tr>
      <w:tr w14:paraId="06125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0F427A58">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045C34C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10</w:t>
            </w:r>
          </w:p>
        </w:tc>
        <w:tc>
          <w:tcPr>
            <w:tcW w:w="2578" w:type="dxa"/>
            <w:vAlign w:val="center"/>
          </w:tcPr>
          <w:p w14:paraId="6061494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支持客户资金三方存管</w:t>
            </w:r>
          </w:p>
        </w:tc>
        <w:tc>
          <w:tcPr>
            <w:tcW w:w="1009" w:type="dxa"/>
            <w:vAlign w:val="center"/>
          </w:tcPr>
          <w:p w14:paraId="0F43F4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3D0285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24B53C7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7DCCD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4CC01E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171A97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07E7CF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F8BED11">
            <w:pPr>
              <w:widowControl w:val="0"/>
              <w:snapToGrid w:val="0"/>
              <w:spacing w:line="240" w:lineRule="auto"/>
              <w:ind w:firstLine="0" w:firstLineChars="0"/>
              <w:rPr>
                <w:rFonts w:eastAsia="仿宋" w:cs="Times New Roman"/>
                <w:sz w:val="24"/>
                <w:szCs w:val="28"/>
              </w:rPr>
            </w:pPr>
          </w:p>
        </w:tc>
      </w:tr>
      <w:tr w14:paraId="1ED42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restart"/>
            <w:vAlign w:val="center"/>
          </w:tcPr>
          <w:p w14:paraId="08A1EC1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交易终端</w:t>
            </w:r>
          </w:p>
        </w:tc>
        <w:tc>
          <w:tcPr>
            <w:tcW w:w="544" w:type="dxa"/>
            <w:vAlign w:val="center"/>
          </w:tcPr>
          <w:p w14:paraId="46EC160C">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11</w:t>
            </w:r>
          </w:p>
        </w:tc>
        <w:tc>
          <w:tcPr>
            <w:tcW w:w="2578" w:type="dxa"/>
            <w:vAlign w:val="center"/>
          </w:tcPr>
          <w:p w14:paraId="6A16B61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支持现货行情显示</w:t>
            </w:r>
          </w:p>
        </w:tc>
        <w:tc>
          <w:tcPr>
            <w:tcW w:w="1009" w:type="dxa"/>
            <w:vAlign w:val="center"/>
          </w:tcPr>
          <w:p w14:paraId="04539B5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167A56E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6E64CC0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BF35EB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328655C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69644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DCE06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53DEA105">
            <w:pPr>
              <w:widowControl w:val="0"/>
              <w:snapToGrid w:val="0"/>
              <w:spacing w:line="240" w:lineRule="auto"/>
              <w:ind w:firstLine="0" w:firstLineChars="0"/>
              <w:rPr>
                <w:rFonts w:eastAsia="仿宋" w:cs="Times New Roman"/>
                <w:sz w:val="24"/>
                <w:szCs w:val="28"/>
              </w:rPr>
            </w:pPr>
          </w:p>
        </w:tc>
      </w:tr>
      <w:tr w14:paraId="21ADA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4CDFD563">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20A1D8B">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12</w:t>
            </w:r>
          </w:p>
        </w:tc>
        <w:tc>
          <w:tcPr>
            <w:tcW w:w="2578" w:type="dxa"/>
            <w:vAlign w:val="center"/>
          </w:tcPr>
          <w:p w14:paraId="191C2A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支持现货买卖</w:t>
            </w:r>
          </w:p>
        </w:tc>
        <w:tc>
          <w:tcPr>
            <w:tcW w:w="1009" w:type="dxa"/>
            <w:vAlign w:val="center"/>
          </w:tcPr>
          <w:p w14:paraId="689826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2FF7C2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4EDDED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2F139D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6B43A6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D5BF5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BDBBF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85861D2">
            <w:pPr>
              <w:widowControl w:val="0"/>
              <w:snapToGrid w:val="0"/>
              <w:spacing w:line="240" w:lineRule="auto"/>
              <w:ind w:firstLine="0" w:firstLineChars="0"/>
              <w:rPr>
                <w:rFonts w:eastAsia="仿宋" w:cs="Times New Roman"/>
                <w:sz w:val="24"/>
                <w:szCs w:val="28"/>
              </w:rPr>
            </w:pPr>
          </w:p>
        </w:tc>
      </w:tr>
      <w:tr w14:paraId="55785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1E1E8B36">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14CF460D">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13</w:t>
            </w:r>
          </w:p>
        </w:tc>
        <w:tc>
          <w:tcPr>
            <w:tcW w:w="2578" w:type="dxa"/>
            <w:vAlign w:val="center"/>
          </w:tcPr>
          <w:p w14:paraId="6EBF135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期货公司需要对证券现货交易进行前端控制（仅限交易与股票期权相关标的）。如果标的是E</w:t>
            </w:r>
            <w:r>
              <w:rPr>
                <w:rFonts w:eastAsia="仿宋" w:cs="Times New Roman"/>
                <w:sz w:val="24"/>
                <w:szCs w:val="28"/>
              </w:rPr>
              <w:t>TF</w:t>
            </w:r>
            <w:r>
              <w:rPr>
                <w:rFonts w:hint="eastAsia" w:eastAsia="仿宋" w:cs="Times New Roman"/>
                <w:sz w:val="24"/>
                <w:szCs w:val="28"/>
              </w:rPr>
              <w:t>的，只能买卖，不能申赎。</w:t>
            </w:r>
          </w:p>
        </w:tc>
        <w:tc>
          <w:tcPr>
            <w:tcW w:w="1009" w:type="dxa"/>
            <w:vAlign w:val="center"/>
          </w:tcPr>
          <w:p w14:paraId="33571B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2FCB833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2D74E6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8B17A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4BA88C7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C2106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A1267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6F1360E0">
            <w:pPr>
              <w:widowControl w:val="0"/>
              <w:snapToGrid w:val="0"/>
              <w:spacing w:line="240" w:lineRule="auto"/>
              <w:ind w:firstLine="0" w:firstLineChars="0"/>
              <w:rPr>
                <w:rFonts w:eastAsia="仿宋" w:cs="Times New Roman"/>
                <w:sz w:val="24"/>
                <w:szCs w:val="28"/>
              </w:rPr>
            </w:pPr>
          </w:p>
        </w:tc>
      </w:tr>
      <w:tr w14:paraId="6795A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059F0F7D">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221E5B5">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14</w:t>
            </w:r>
          </w:p>
        </w:tc>
        <w:tc>
          <w:tcPr>
            <w:tcW w:w="2578" w:type="dxa"/>
            <w:vAlign w:val="center"/>
          </w:tcPr>
          <w:p w14:paraId="29762C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支持资金、现货份额查询；支持当日委托、成交查询；</w:t>
            </w:r>
          </w:p>
          <w:p w14:paraId="3597978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支持历史委托、成交查询。</w:t>
            </w:r>
          </w:p>
        </w:tc>
        <w:tc>
          <w:tcPr>
            <w:tcW w:w="1009" w:type="dxa"/>
            <w:vAlign w:val="center"/>
          </w:tcPr>
          <w:p w14:paraId="139CF76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07CAF5D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10461C6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CBBCF4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7C0C351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B5E23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59604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73F6F17">
            <w:pPr>
              <w:widowControl w:val="0"/>
              <w:snapToGrid w:val="0"/>
              <w:spacing w:line="240" w:lineRule="auto"/>
              <w:ind w:firstLine="0" w:firstLineChars="0"/>
              <w:rPr>
                <w:rFonts w:eastAsia="仿宋" w:cs="Times New Roman"/>
                <w:sz w:val="24"/>
                <w:szCs w:val="28"/>
              </w:rPr>
            </w:pPr>
          </w:p>
        </w:tc>
      </w:tr>
      <w:tr w14:paraId="0313A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restart"/>
            <w:vAlign w:val="center"/>
          </w:tcPr>
          <w:p w14:paraId="7473170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柜台系统</w:t>
            </w:r>
          </w:p>
        </w:tc>
        <w:tc>
          <w:tcPr>
            <w:tcW w:w="544" w:type="dxa"/>
            <w:vAlign w:val="center"/>
          </w:tcPr>
          <w:p w14:paraId="7E47639F">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15</w:t>
            </w:r>
          </w:p>
        </w:tc>
        <w:tc>
          <w:tcPr>
            <w:tcW w:w="2578" w:type="dxa"/>
            <w:vAlign w:val="center"/>
          </w:tcPr>
          <w:p w14:paraId="13C5C3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支持资金、现货份额查询；支持当日委托、成交查询；</w:t>
            </w:r>
          </w:p>
          <w:p w14:paraId="24DD44E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支持历史委托、成交查询。</w:t>
            </w:r>
          </w:p>
        </w:tc>
        <w:tc>
          <w:tcPr>
            <w:tcW w:w="1009" w:type="dxa"/>
            <w:vAlign w:val="center"/>
          </w:tcPr>
          <w:p w14:paraId="57AA1F0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3475FF3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2DCD35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47DE8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5D57BD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A028C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EE123B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3E23EBA3">
            <w:pPr>
              <w:widowControl w:val="0"/>
              <w:snapToGrid w:val="0"/>
              <w:spacing w:line="240" w:lineRule="auto"/>
              <w:ind w:firstLine="0" w:firstLineChars="0"/>
              <w:rPr>
                <w:rFonts w:eastAsia="仿宋" w:cs="Times New Roman"/>
                <w:sz w:val="24"/>
                <w:szCs w:val="28"/>
              </w:rPr>
            </w:pPr>
          </w:p>
        </w:tc>
      </w:tr>
      <w:tr w14:paraId="16B4A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23605E10">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43054E5A">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16</w:t>
            </w:r>
          </w:p>
        </w:tc>
        <w:tc>
          <w:tcPr>
            <w:tcW w:w="2578" w:type="dxa"/>
            <w:vAlign w:val="center"/>
          </w:tcPr>
          <w:p w14:paraId="3D9BA8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支持客户对账单、交割单查询</w:t>
            </w:r>
          </w:p>
        </w:tc>
        <w:tc>
          <w:tcPr>
            <w:tcW w:w="1009" w:type="dxa"/>
            <w:vAlign w:val="center"/>
          </w:tcPr>
          <w:p w14:paraId="179E7C4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36133D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1B21078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D2AB2F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4A2171C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017697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D34CE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0DEB4B4E">
            <w:pPr>
              <w:widowControl w:val="0"/>
              <w:snapToGrid w:val="0"/>
              <w:spacing w:line="240" w:lineRule="auto"/>
              <w:ind w:firstLine="0" w:firstLineChars="0"/>
              <w:rPr>
                <w:rFonts w:eastAsia="仿宋" w:cs="Times New Roman"/>
                <w:sz w:val="24"/>
                <w:szCs w:val="28"/>
              </w:rPr>
            </w:pPr>
          </w:p>
        </w:tc>
      </w:tr>
      <w:tr w14:paraId="67F8D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restart"/>
            <w:vAlign w:val="center"/>
          </w:tcPr>
          <w:p w14:paraId="2B04D52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异常交易管理</w:t>
            </w:r>
          </w:p>
        </w:tc>
        <w:tc>
          <w:tcPr>
            <w:tcW w:w="544" w:type="dxa"/>
            <w:vAlign w:val="center"/>
          </w:tcPr>
          <w:p w14:paraId="7372906F">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17</w:t>
            </w:r>
          </w:p>
        </w:tc>
        <w:tc>
          <w:tcPr>
            <w:tcW w:w="2578" w:type="dxa"/>
            <w:vAlign w:val="center"/>
          </w:tcPr>
          <w:p w14:paraId="0D1BECE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建立有效</w:t>
            </w:r>
            <w:r>
              <w:rPr>
                <w:rFonts w:eastAsia="仿宋" w:cs="Times New Roman"/>
                <w:sz w:val="24"/>
                <w:szCs w:val="28"/>
              </w:rPr>
              <w:t>的监控体系</w:t>
            </w:r>
            <w:r>
              <w:rPr>
                <w:rFonts w:hint="eastAsia" w:eastAsia="仿宋" w:cs="Times New Roman"/>
                <w:sz w:val="24"/>
                <w:szCs w:val="28"/>
              </w:rPr>
              <w:t>，设置</w:t>
            </w:r>
            <w:r>
              <w:rPr>
                <w:rFonts w:eastAsia="仿宋" w:cs="Times New Roman"/>
                <w:sz w:val="24"/>
                <w:szCs w:val="28"/>
              </w:rPr>
              <w:t>相关预警指标，</w:t>
            </w:r>
            <w:r>
              <w:rPr>
                <w:rFonts w:hint="eastAsia" w:eastAsia="仿宋" w:cs="Times New Roman"/>
                <w:sz w:val="24"/>
                <w:szCs w:val="28"/>
              </w:rPr>
              <w:t>确保客户只能从事与股票期权备兑开仓以及行权相关的标的证券业务。</w:t>
            </w:r>
          </w:p>
        </w:tc>
        <w:tc>
          <w:tcPr>
            <w:tcW w:w="1009" w:type="dxa"/>
            <w:vAlign w:val="center"/>
          </w:tcPr>
          <w:p w14:paraId="035C60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09EB9E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951" w:type="dxa"/>
            <w:vAlign w:val="center"/>
          </w:tcPr>
          <w:p w14:paraId="2F1BF10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DFA87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6F2306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DAA1BD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1FB12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7FDA03B">
            <w:pPr>
              <w:widowControl w:val="0"/>
              <w:snapToGrid w:val="0"/>
              <w:spacing w:line="240" w:lineRule="auto"/>
              <w:ind w:firstLine="0" w:firstLineChars="0"/>
              <w:rPr>
                <w:rFonts w:eastAsia="仿宋" w:cs="Times New Roman"/>
                <w:sz w:val="24"/>
                <w:szCs w:val="28"/>
              </w:rPr>
            </w:pPr>
          </w:p>
        </w:tc>
      </w:tr>
      <w:tr w14:paraId="37F88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67" w:type="dxa"/>
            <w:vMerge w:val="continue"/>
            <w:vAlign w:val="center"/>
          </w:tcPr>
          <w:p w14:paraId="500B35E5">
            <w:pPr>
              <w:widowControl w:val="0"/>
              <w:snapToGrid w:val="0"/>
              <w:spacing w:line="240" w:lineRule="auto"/>
              <w:ind w:firstLine="0" w:firstLineChars="0"/>
              <w:jc w:val="center"/>
              <w:rPr>
                <w:rFonts w:eastAsia="仿宋" w:cs="Times New Roman"/>
                <w:b/>
                <w:sz w:val="24"/>
                <w:szCs w:val="28"/>
              </w:rPr>
            </w:pPr>
          </w:p>
        </w:tc>
        <w:tc>
          <w:tcPr>
            <w:tcW w:w="544" w:type="dxa"/>
            <w:vAlign w:val="center"/>
          </w:tcPr>
          <w:p w14:paraId="591F6596">
            <w:pPr>
              <w:widowControl w:val="0"/>
              <w:snapToGrid w:val="0"/>
              <w:spacing w:line="240" w:lineRule="auto"/>
              <w:ind w:firstLine="0" w:firstLineChars="0"/>
              <w:jc w:val="center"/>
              <w:rPr>
                <w:rFonts w:eastAsia="仿宋" w:cs="Times New Roman"/>
                <w:sz w:val="24"/>
                <w:szCs w:val="28"/>
              </w:rPr>
            </w:pPr>
            <w:r>
              <w:rPr>
                <w:rFonts w:eastAsia="仿宋" w:cs="Times New Roman"/>
                <w:sz w:val="24"/>
                <w:szCs w:val="28"/>
              </w:rPr>
              <w:t>18</w:t>
            </w:r>
          </w:p>
        </w:tc>
        <w:tc>
          <w:tcPr>
            <w:tcW w:w="2578" w:type="dxa"/>
            <w:vAlign w:val="center"/>
          </w:tcPr>
          <w:p w14:paraId="24890B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设置</w:t>
            </w:r>
            <w:r>
              <w:rPr>
                <w:rFonts w:eastAsia="仿宋" w:cs="Times New Roman"/>
                <w:sz w:val="24"/>
                <w:szCs w:val="28"/>
              </w:rPr>
              <w:t>相关预警指标，建立有效的证券异常交易监控体系</w:t>
            </w:r>
            <w:r>
              <w:rPr>
                <w:rFonts w:hint="eastAsia" w:eastAsia="仿宋" w:cs="Times New Roman"/>
                <w:sz w:val="24"/>
                <w:szCs w:val="28"/>
              </w:rPr>
              <w:t>。</w:t>
            </w:r>
          </w:p>
        </w:tc>
        <w:tc>
          <w:tcPr>
            <w:tcW w:w="1009" w:type="dxa"/>
            <w:vAlign w:val="center"/>
          </w:tcPr>
          <w:p w14:paraId="3892B48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1843" w:type="dxa"/>
            <w:vAlign w:val="center"/>
          </w:tcPr>
          <w:p w14:paraId="6F25A65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《关于期货公司开展股票期权及相关证券现货经纪业务有关事项的通知》（上证发〔2015〕17号）</w:t>
            </w:r>
          </w:p>
        </w:tc>
        <w:tc>
          <w:tcPr>
            <w:tcW w:w="951" w:type="dxa"/>
            <w:vAlign w:val="center"/>
          </w:tcPr>
          <w:p w14:paraId="126A5F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5DE5E8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7" w:type="dxa"/>
            <w:vAlign w:val="center"/>
          </w:tcPr>
          <w:p w14:paraId="0EDD679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EDCD4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8D3930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815" w:type="dxa"/>
            <w:vAlign w:val="center"/>
          </w:tcPr>
          <w:p w14:paraId="47BCFB11">
            <w:pPr>
              <w:widowControl w:val="0"/>
              <w:snapToGrid w:val="0"/>
              <w:spacing w:line="240" w:lineRule="auto"/>
              <w:ind w:firstLine="0" w:firstLineChars="0"/>
              <w:rPr>
                <w:rFonts w:eastAsia="仿宋" w:cs="Times New Roman"/>
                <w:sz w:val="24"/>
                <w:szCs w:val="28"/>
              </w:rPr>
            </w:pPr>
          </w:p>
        </w:tc>
      </w:tr>
    </w:tbl>
    <w:p w14:paraId="557F7760">
      <w:pPr>
        <w:spacing w:line="400" w:lineRule="exact"/>
        <w:ind w:firstLine="0" w:firstLineChars="0"/>
        <w:jc w:val="left"/>
        <w:rPr>
          <w:rFonts w:cs="Times New Roman"/>
          <w:bCs/>
          <w:sz w:val="28"/>
          <w:szCs w:val="21"/>
        </w:rPr>
      </w:pPr>
    </w:p>
    <w:p w14:paraId="16138488">
      <w:pPr>
        <w:spacing w:line="400" w:lineRule="exact"/>
        <w:ind w:firstLine="0" w:firstLineChars="0"/>
        <w:jc w:val="left"/>
        <w:rPr>
          <w:rFonts w:cs="Times New Roman"/>
          <w:sz w:val="28"/>
          <w:szCs w:val="21"/>
        </w:rPr>
      </w:pPr>
      <w:bookmarkStart w:id="571" w:name="_Toc57819613"/>
      <w:r>
        <w:rPr>
          <w:rFonts w:cs="Times New Roman"/>
          <w:sz w:val="28"/>
          <w:szCs w:val="21"/>
        </w:rPr>
        <w:br w:type="page"/>
      </w:r>
    </w:p>
    <w:p w14:paraId="2B573219">
      <w:pPr>
        <w:spacing w:line="400" w:lineRule="exact"/>
        <w:ind w:firstLine="0" w:firstLineChars="0"/>
        <w:jc w:val="center"/>
        <w:rPr>
          <w:rFonts w:hint="eastAsia" w:eastAsia="楷体" w:cs="Times New Roman"/>
          <w:sz w:val="28"/>
          <w:szCs w:val="21"/>
        </w:rPr>
      </w:pPr>
    </w:p>
    <w:p w14:paraId="05D0030B">
      <w:pPr>
        <w:spacing w:line="400" w:lineRule="exact"/>
        <w:ind w:firstLine="0" w:firstLineChars="0"/>
        <w:jc w:val="center"/>
        <w:rPr>
          <w:rFonts w:eastAsia="楷体" w:cs="Times New Roman"/>
          <w:sz w:val="28"/>
          <w:szCs w:val="21"/>
        </w:rPr>
      </w:pPr>
      <w:r>
        <w:rPr>
          <w:rFonts w:hint="eastAsia" w:eastAsia="楷体" w:cs="Times New Roman"/>
          <w:sz w:val="28"/>
          <w:szCs w:val="21"/>
        </w:rPr>
        <w:t>第三部分</w:t>
      </w:r>
      <w:bookmarkEnd w:id="571"/>
    </w:p>
    <w:p w14:paraId="181161DD">
      <w:pPr>
        <w:spacing w:line="400" w:lineRule="exact"/>
        <w:ind w:firstLine="0" w:firstLineChars="0"/>
        <w:jc w:val="center"/>
        <w:rPr>
          <w:rFonts w:hint="eastAsia" w:eastAsia="楷体" w:cs="Times New Roman"/>
          <w:sz w:val="28"/>
          <w:szCs w:val="21"/>
        </w:rPr>
      </w:pPr>
      <w:bookmarkStart w:id="572" w:name="_Toc57819614"/>
      <w:r>
        <w:rPr>
          <w:rFonts w:hint="eastAsia" w:eastAsia="楷体" w:cs="Times New Roman"/>
          <w:sz w:val="28"/>
          <w:szCs w:val="21"/>
        </w:rPr>
        <w:t>期货公司期权经纪业务登记结算就绪情况检查</w:t>
      </w:r>
      <w:bookmarkEnd w:id="572"/>
    </w:p>
    <w:p w14:paraId="6C68FCB7">
      <w:pPr>
        <w:pStyle w:val="2"/>
      </w:pPr>
    </w:p>
    <w:p w14:paraId="6DE41CD8">
      <w:pPr>
        <w:spacing w:line="400" w:lineRule="exact"/>
        <w:ind w:firstLine="0" w:firstLineChars="0"/>
        <w:rPr>
          <w:rFonts w:eastAsia="黑体" w:cs="Times New Roman"/>
          <w:sz w:val="28"/>
          <w:szCs w:val="24"/>
        </w:rPr>
      </w:pPr>
      <w:bookmarkStart w:id="573" w:name="_Toc57819615"/>
      <w:r>
        <w:rPr>
          <w:rFonts w:hint="eastAsia" w:eastAsia="黑体" w:cs="Times New Roman"/>
          <w:sz w:val="28"/>
          <w:szCs w:val="24"/>
        </w:rPr>
        <w:t>一、基本要求</w:t>
      </w:r>
      <w:bookmarkEnd w:id="573"/>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089"/>
        <w:gridCol w:w="545"/>
        <w:gridCol w:w="2448"/>
        <w:gridCol w:w="1088"/>
        <w:gridCol w:w="2038"/>
        <w:gridCol w:w="952"/>
        <w:gridCol w:w="1359"/>
        <w:gridCol w:w="545"/>
      </w:tblGrid>
      <w:tr w14:paraId="0B031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089" w:type="dxa"/>
            <w:vMerge w:val="restart"/>
            <w:vAlign w:val="center"/>
          </w:tcPr>
          <w:p w14:paraId="6333883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545" w:type="dxa"/>
            <w:vMerge w:val="restart"/>
            <w:vAlign w:val="center"/>
          </w:tcPr>
          <w:p w14:paraId="4AFCDE9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448" w:type="dxa"/>
            <w:vMerge w:val="restart"/>
            <w:vAlign w:val="center"/>
          </w:tcPr>
          <w:p w14:paraId="61F3834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088" w:type="dxa"/>
            <w:vMerge w:val="restart"/>
            <w:vAlign w:val="center"/>
          </w:tcPr>
          <w:p w14:paraId="55FFCE0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038" w:type="dxa"/>
            <w:vMerge w:val="restart"/>
            <w:vAlign w:val="center"/>
          </w:tcPr>
          <w:p w14:paraId="5190965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2856" w:type="dxa"/>
            <w:gridSpan w:val="3"/>
            <w:vAlign w:val="center"/>
          </w:tcPr>
          <w:p w14:paraId="32E4B51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45A2C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089" w:type="dxa"/>
            <w:vMerge w:val="continue"/>
            <w:vAlign w:val="center"/>
          </w:tcPr>
          <w:p w14:paraId="1019D75D">
            <w:pPr>
              <w:widowControl w:val="0"/>
              <w:snapToGrid w:val="0"/>
              <w:spacing w:line="240" w:lineRule="auto"/>
              <w:ind w:firstLine="0" w:firstLineChars="0"/>
              <w:jc w:val="center"/>
              <w:rPr>
                <w:rFonts w:eastAsia="仿宋" w:cs="Times New Roman"/>
                <w:b/>
                <w:sz w:val="24"/>
                <w:szCs w:val="28"/>
              </w:rPr>
            </w:pPr>
          </w:p>
        </w:tc>
        <w:tc>
          <w:tcPr>
            <w:tcW w:w="545" w:type="dxa"/>
            <w:vMerge w:val="continue"/>
            <w:vAlign w:val="center"/>
          </w:tcPr>
          <w:p w14:paraId="4A67D51D">
            <w:pPr>
              <w:widowControl w:val="0"/>
              <w:snapToGrid w:val="0"/>
              <w:spacing w:line="240" w:lineRule="auto"/>
              <w:ind w:firstLine="0" w:firstLineChars="0"/>
              <w:jc w:val="center"/>
              <w:rPr>
                <w:rFonts w:eastAsia="仿宋" w:cs="Times New Roman"/>
                <w:b/>
                <w:sz w:val="24"/>
                <w:szCs w:val="28"/>
              </w:rPr>
            </w:pPr>
          </w:p>
        </w:tc>
        <w:tc>
          <w:tcPr>
            <w:tcW w:w="2448" w:type="dxa"/>
            <w:vMerge w:val="continue"/>
            <w:vAlign w:val="center"/>
          </w:tcPr>
          <w:p w14:paraId="0C679A92">
            <w:pPr>
              <w:widowControl w:val="0"/>
              <w:snapToGrid w:val="0"/>
              <w:spacing w:line="240" w:lineRule="auto"/>
              <w:ind w:firstLine="0" w:firstLineChars="0"/>
              <w:jc w:val="center"/>
              <w:rPr>
                <w:rFonts w:eastAsia="仿宋" w:cs="Times New Roman"/>
                <w:b/>
                <w:sz w:val="24"/>
                <w:szCs w:val="28"/>
              </w:rPr>
            </w:pPr>
          </w:p>
        </w:tc>
        <w:tc>
          <w:tcPr>
            <w:tcW w:w="1088" w:type="dxa"/>
            <w:vMerge w:val="continue"/>
            <w:vAlign w:val="center"/>
          </w:tcPr>
          <w:p w14:paraId="7DA18F21">
            <w:pPr>
              <w:widowControl w:val="0"/>
              <w:snapToGrid w:val="0"/>
              <w:spacing w:line="240" w:lineRule="auto"/>
              <w:ind w:firstLine="0" w:firstLineChars="0"/>
              <w:jc w:val="center"/>
              <w:rPr>
                <w:rFonts w:eastAsia="仿宋" w:cs="Times New Roman"/>
                <w:b/>
                <w:sz w:val="24"/>
                <w:szCs w:val="28"/>
              </w:rPr>
            </w:pPr>
          </w:p>
        </w:tc>
        <w:tc>
          <w:tcPr>
            <w:tcW w:w="2038" w:type="dxa"/>
            <w:vMerge w:val="continue"/>
            <w:vAlign w:val="center"/>
          </w:tcPr>
          <w:p w14:paraId="39FCD8C1">
            <w:pPr>
              <w:widowControl w:val="0"/>
              <w:snapToGrid w:val="0"/>
              <w:spacing w:line="240" w:lineRule="auto"/>
              <w:ind w:firstLine="0" w:firstLineChars="0"/>
              <w:jc w:val="center"/>
              <w:rPr>
                <w:rFonts w:eastAsia="仿宋" w:cs="Times New Roman"/>
                <w:b/>
                <w:sz w:val="24"/>
                <w:szCs w:val="28"/>
              </w:rPr>
            </w:pPr>
          </w:p>
        </w:tc>
        <w:tc>
          <w:tcPr>
            <w:tcW w:w="952" w:type="dxa"/>
            <w:vAlign w:val="center"/>
          </w:tcPr>
          <w:p w14:paraId="3414300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359" w:type="dxa"/>
            <w:vAlign w:val="center"/>
          </w:tcPr>
          <w:p w14:paraId="0582E35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545" w:type="dxa"/>
            <w:vAlign w:val="center"/>
          </w:tcPr>
          <w:p w14:paraId="095965C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21569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9" w:type="dxa"/>
            <w:vMerge w:val="restart"/>
            <w:vAlign w:val="center"/>
          </w:tcPr>
          <w:p w14:paraId="116B944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制度与规则</w:t>
            </w:r>
          </w:p>
        </w:tc>
        <w:tc>
          <w:tcPr>
            <w:tcW w:w="545" w:type="dxa"/>
            <w:vAlign w:val="center"/>
          </w:tcPr>
          <w:p w14:paraId="6723E34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w:t>
            </w:r>
          </w:p>
        </w:tc>
        <w:tc>
          <w:tcPr>
            <w:tcW w:w="2448" w:type="dxa"/>
            <w:vAlign w:val="center"/>
          </w:tcPr>
          <w:p w14:paraId="66D3B8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期权结算风险控制与风险处置相关制度；</w:t>
            </w:r>
          </w:p>
          <w:p w14:paraId="6353EA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现货结算制度及相关风险管理制度</w:t>
            </w:r>
          </w:p>
        </w:tc>
        <w:tc>
          <w:tcPr>
            <w:tcW w:w="1088" w:type="dxa"/>
            <w:vAlign w:val="center"/>
          </w:tcPr>
          <w:p w14:paraId="2560A4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38" w:type="dxa"/>
            <w:vAlign w:val="center"/>
          </w:tcPr>
          <w:p w14:paraId="0792E4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2950A4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《中国证券登记结算有限责任公司关于上海证券交易所股票期权试点结算规则》（以下简称“《结算规则》”）</w:t>
            </w:r>
          </w:p>
          <w:p w14:paraId="15CE0E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《中国证券登记结算有限责任公司上海分公司股票期权试点结算业务指南》（以下简称“《期权结算业务指南》”）</w:t>
            </w:r>
          </w:p>
          <w:p w14:paraId="1D131F8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《中国证券登记结算有限责任公司上海分公司结算账户管理及资金结算业务指南》（以下简称“《中登上海结算指南》”）</w:t>
            </w:r>
          </w:p>
        </w:tc>
        <w:tc>
          <w:tcPr>
            <w:tcW w:w="952" w:type="dxa"/>
            <w:vAlign w:val="center"/>
          </w:tcPr>
          <w:p w14:paraId="01AC97D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549F63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9" w:type="dxa"/>
            <w:vAlign w:val="center"/>
          </w:tcPr>
          <w:p w14:paraId="117841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D77A2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19B3DC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45" w:type="dxa"/>
            <w:vAlign w:val="center"/>
          </w:tcPr>
          <w:p w14:paraId="3B9D6C75">
            <w:pPr>
              <w:widowControl w:val="0"/>
              <w:snapToGrid w:val="0"/>
              <w:spacing w:line="240" w:lineRule="auto"/>
              <w:ind w:firstLine="0" w:firstLineChars="0"/>
              <w:rPr>
                <w:rFonts w:eastAsia="仿宋" w:cs="Times New Roman"/>
                <w:sz w:val="24"/>
                <w:szCs w:val="28"/>
              </w:rPr>
            </w:pPr>
          </w:p>
        </w:tc>
      </w:tr>
      <w:tr w14:paraId="3903F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9" w:type="dxa"/>
            <w:vMerge w:val="continue"/>
            <w:vAlign w:val="center"/>
          </w:tcPr>
          <w:p w14:paraId="133930C8">
            <w:pPr>
              <w:widowControl w:val="0"/>
              <w:snapToGrid w:val="0"/>
              <w:spacing w:line="240" w:lineRule="auto"/>
              <w:ind w:firstLine="0" w:firstLineChars="0"/>
              <w:jc w:val="center"/>
              <w:rPr>
                <w:rFonts w:eastAsia="仿宋" w:cs="Times New Roman"/>
                <w:b/>
                <w:sz w:val="24"/>
                <w:szCs w:val="28"/>
              </w:rPr>
            </w:pPr>
          </w:p>
        </w:tc>
        <w:tc>
          <w:tcPr>
            <w:tcW w:w="545" w:type="dxa"/>
            <w:vAlign w:val="center"/>
          </w:tcPr>
          <w:p w14:paraId="14111637">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w:t>
            </w:r>
          </w:p>
        </w:tc>
        <w:tc>
          <w:tcPr>
            <w:tcW w:w="2448" w:type="dxa"/>
            <w:vAlign w:val="center"/>
          </w:tcPr>
          <w:p w14:paraId="6E8E00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独立的衍生品账户管理相关规定、普通证券账户管理相关规定</w:t>
            </w:r>
          </w:p>
        </w:tc>
        <w:tc>
          <w:tcPr>
            <w:tcW w:w="1088" w:type="dxa"/>
            <w:vAlign w:val="center"/>
          </w:tcPr>
          <w:p w14:paraId="58AC10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38" w:type="dxa"/>
            <w:vAlign w:val="center"/>
          </w:tcPr>
          <w:p w14:paraId="5BF698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1E413E0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47F626A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tc>
        <w:tc>
          <w:tcPr>
            <w:tcW w:w="952" w:type="dxa"/>
            <w:vAlign w:val="center"/>
          </w:tcPr>
          <w:p w14:paraId="4935BBC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D714C0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9" w:type="dxa"/>
            <w:vAlign w:val="center"/>
          </w:tcPr>
          <w:p w14:paraId="6E7DC19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6978A8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4D2FD3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45" w:type="dxa"/>
            <w:vAlign w:val="center"/>
          </w:tcPr>
          <w:p w14:paraId="3D491DAB">
            <w:pPr>
              <w:widowControl w:val="0"/>
              <w:snapToGrid w:val="0"/>
              <w:spacing w:line="240" w:lineRule="auto"/>
              <w:ind w:firstLine="0" w:firstLineChars="0"/>
              <w:rPr>
                <w:rFonts w:eastAsia="仿宋" w:cs="Times New Roman"/>
                <w:sz w:val="24"/>
                <w:szCs w:val="28"/>
              </w:rPr>
            </w:pPr>
          </w:p>
        </w:tc>
      </w:tr>
      <w:tr w14:paraId="13F67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9" w:type="dxa"/>
            <w:vMerge w:val="continue"/>
            <w:vAlign w:val="center"/>
          </w:tcPr>
          <w:p w14:paraId="68547BA9">
            <w:pPr>
              <w:widowControl w:val="0"/>
              <w:snapToGrid w:val="0"/>
              <w:spacing w:line="240" w:lineRule="auto"/>
              <w:ind w:firstLine="0" w:firstLineChars="0"/>
              <w:jc w:val="center"/>
              <w:rPr>
                <w:rFonts w:eastAsia="仿宋" w:cs="Times New Roman"/>
                <w:b/>
                <w:sz w:val="24"/>
                <w:szCs w:val="28"/>
              </w:rPr>
            </w:pPr>
          </w:p>
        </w:tc>
        <w:tc>
          <w:tcPr>
            <w:tcW w:w="545" w:type="dxa"/>
            <w:vAlign w:val="center"/>
          </w:tcPr>
          <w:p w14:paraId="0C18EDC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p>
        </w:tc>
        <w:tc>
          <w:tcPr>
            <w:tcW w:w="2448" w:type="dxa"/>
            <w:vAlign w:val="center"/>
          </w:tcPr>
          <w:p w14:paraId="33665D3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独立的衍生品资金管理相关制度、现货资金管理相关制度</w:t>
            </w:r>
          </w:p>
        </w:tc>
        <w:tc>
          <w:tcPr>
            <w:tcW w:w="1088" w:type="dxa"/>
            <w:vAlign w:val="center"/>
          </w:tcPr>
          <w:p w14:paraId="79128E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38" w:type="dxa"/>
            <w:vAlign w:val="center"/>
          </w:tcPr>
          <w:p w14:paraId="57EDB83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55C11C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6C62D06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tc>
        <w:tc>
          <w:tcPr>
            <w:tcW w:w="952" w:type="dxa"/>
            <w:vAlign w:val="center"/>
          </w:tcPr>
          <w:p w14:paraId="25E1C20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0DD72D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9" w:type="dxa"/>
            <w:vAlign w:val="center"/>
          </w:tcPr>
          <w:p w14:paraId="2A8A817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E9554E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1E7BF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45" w:type="dxa"/>
            <w:vAlign w:val="center"/>
          </w:tcPr>
          <w:p w14:paraId="12A6617B">
            <w:pPr>
              <w:widowControl w:val="0"/>
              <w:snapToGrid w:val="0"/>
              <w:spacing w:line="240" w:lineRule="auto"/>
              <w:ind w:firstLine="0" w:firstLineChars="0"/>
              <w:rPr>
                <w:rFonts w:eastAsia="仿宋" w:cs="Times New Roman"/>
                <w:sz w:val="24"/>
                <w:szCs w:val="28"/>
              </w:rPr>
            </w:pPr>
          </w:p>
        </w:tc>
      </w:tr>
      <w:tr w14:paraId="7EF32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9" w:type="dxa"/>
            <w:vMerge w:val="continue"/>
            <w:vAlign w:val="center"/>
          </w:tcPr>
          <w:p w14:paraId="709BB7CF">
            <w:pPr>
              <w:widowControl w:val="0"/>
              <w:snapToGrid w:val="0"/>
              <w:spacing w:line="240" w:lineRule="auto"/>
              <w:ind w:firstLine="0" w:firstLineChars="0"/>
              <w:jc w:val="center"/>
              <w:rPr>
                <w:rFonts w:eastAsia="仿宋" w:cs="Times New Roman"/>
                <w:b/>
                <w:sz w:val="24"/>
                <w:szCs w:val="28"/>
              </w:rPr>
            </w:pPr>
          </w:p>
        </w:tc>
        <w:tc>
          <w:tcPr>
            <w:tcW w:w="545" w:type="dxa"/>
            <w:vAlign w:val="center"/>
          </w:tcPr>
          <w:p w14:paraId="20E77E88">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p>
        </w:tc>
        <w:tc>
          <w:tcPr>
            <w:tcW w:w="2448" w:type="dxa"/>
            <w:vAlign w:val="center"/>
          </w:tcPr>
          <w:p w14:paraId="6BEDE47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衍生品保证金管理相关制度</w:t>
            </w:r>
          </w:p>
        </w:tc>
        <w:tc>
          <w:tcPr>
            <w:tcW w:w="1088" w:type="dxa"/>
            <w:vAlign w:val="center"/>
          </w:tcPr>
          <w:p w14:paraId="2062D13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38" w:type="dxa"/>
            <w:vAlign w:val="center"/>
          </w:tcPr>
          <w:p w14:paraId="0A01347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B46EBB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52" w:type="dxa"/>
            <w:vAlign w:val="center"/>
          </w:tcPr>
          <w:p w14:paraId="1ACD723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6A3A4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9" w:type="dxa"/>
            <w:vAlign w:val="center"/>
          </w:tcPr>
          <w:p w14:paraId="5EF3AAB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4E845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DCAD33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45" w:type="dxa"/>
            <w:vAlign w:val="center"/>
          </w:tcPr>
          <w:p w14:paraId="0914D319">
            <w:pPr>
              <w:widowControl w:val="0"/>
              <w:snapToGrid w:val="0"/>
              <w:spacing w:line="240" w:lineRule="auto"/>
              <w:ind w:firstLine="0" w:firstLineChars="0"/>
              <w:rPr>
                <w:rFonts w:eastAsia="仿宋" w:cs="Times New Roman"/>
                <w:sz w:val="24"/>
                <w:szCs w:val="28"/>
              </w:rPr>
            </w:pPr>
          </w:p>
        </w:tc>
      </w:tr>
      <w:tr w14:paraId="40D3F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9" w:type="dxa"/>
            <w:vMerge w:val="restart"/>
            <w:vAlign w:val="center"/>
          </w:tcPr>
          <w:p w14:paraId="51251DB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流程</w:t>
            </w:r>
          </w:p>
        </w:tc>
        <w:tc>
          <w:tcPr>
            <w:tcW w:w="545" w:type="dxa"/>
            <w:vAlign w:val="center"/>
          </w:tcPr>
          <w:p w14:paraId="17F267E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5</w:t>
            </w:r>
          </w:p>
        </w:tc>
        <w:tc>
          <w:tcPr>
            <w:tcW w:w="2448" w:type="dxa"/>
            <w:vAlign w:val="center"/>
          </w:tcPr>
          <w:p w14:paraId="4987C72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衍生品账户管理流程：（1）开户（2）销户（3）对应普通证券账户权限管理（4）账户资料管理</w:t>
            </w:r>
          </w:p>
        </w:tc>
        <w:tc>
          <w:tcPr>
            <w:tcW w:w="1088" w:type="dxa"/>
            <w:vAlign w:val="center"/>
          </w:tcPr>
          <w:p w14:paraId="78F007A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38" w:type="dxa"/>
            <w:vAlign w:val="center"/>
          </w:tcPr>
          <w:p w14:paraId="2B6235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719969E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52" w:type="dxa"/>
            <w:vAlign w:val="center"/>
          </w:tcPr>
          <w:p w14:paraId="258139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98521E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9" w:type="dxa"/>
            <w:vAlign w:val="center"/>
          </w:tcPr>
          <w:p w14:paraId="3371845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4EDC7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0FE18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45" w:type="dxa"/>
            <w:vAlign w:val="center"/>
          </w:tcPr>
          <w:p w14:paraId="3EEDB8B6">
            <w:pPr>
              <w:widowControl w:val="0"/>
              <w:snapToGrid w:val="0"/>
              <w:spacing w:line="240" w:lineRule="auto"/>
              <w:ind w:firstLine="0" w:firstLineChars="0"/>
              <w:rPr>
                <w:rFonts w:eastAsia="仿宋" w:cs="Times New Roman"/>
                <w:sz w:val="24"/>
                <w:szCs w:val="28"/>
              </w:rPr>
            </w:pPr>
          </w:p>
        </w:tc>
      </w:tr>
      <w:tr w14:paraId="0CD1E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9" w:type="dxa"/>
            <w:vMerge w:val="continue"/>
            <w:vAlign w:val="center"/>
          </w:tcPr>
          <w:p w14:paraId="200FD5D7">
            <w:pPr>
              <w:widowControl w:val="0"/>
              <w:snapToGrid w:val="0"/>
              <w:spacing w:line="240" w:lineRule="auto"/>
              <w:ind w:firstLine="0" w:firstLineChars="0"/>
              <w:jc w:val="center"/>
              <w:rPr>
                <w:rFonts w:eastAsia="仿宋" w:cs="Times New Roman"/>
                <w:b/>
                <w:sz w:val="24"/>
                <w:szCs w:val="28"/>
              </w:rPr>
            </w:pPr>
          </w:p>
        </w:tc>
        <w:tc>
          <w:tcPr>
            <w:tcW w:w="545" w:type="dxa"/>
            <w:vAlign w:val="center"/>
          </w:tcPr>
          <w:p w14:paraId="1A8B5F8A">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6</w:t>
            </w:r>
          </w:p>
        </w:tc>
        <w:tc>
          <w:tcPr>
            <w:tcW w:w="2448" w:type="dxa"/>
            <w:vAlign w:val="center"/>
          </w:tcPr>
          <w:p w14:paraId="6FDD011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结算流程：（1）资金管理（2）自动行权（3）违约处置（4）资金垫付处理（5）异常情况处理</w:t>
            </w:r>
          </w:p>
        </w:tc>
        <w:tc>
          <w:tcPr>
            <w:tcW w:w="1088" w:type="dxa"/>
            <w:vAlign w:val="center"/>
          </w:tcPr>
          <w:p w14:paraId="0C7F55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38" w:type="dxa"/>
            <w:vAlign w:val="center"/>
          </w:tcPr>
          <w:p w14:paraId="0BF465F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39F85F7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52" w:type="dxa"/>
            <w:vAlign w:val="center"/>
          </w:tcPr>
          <w:p w14:paraId="08723A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12A1A4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9" w:type="dxa"/>
            <w:vAlign w:val="center"/>
          </w:tcPr>
          <w:p w14:paraId="673F04E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7AC46C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724C60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45" w:type="dxa"/>
            <w:vAlign w:val="center"/>
          </w:tcPr>
          <w:p w14:paraId="48CD736D">
            <w:pPr>
              <w:widowControl w:val="0"/>
              <w:snapToGrid w:val="0"/>
              <w:spacing w:line="240" w:lineRule="auto"/>
              <w:ind w:firstLine="0" w:firstLineChars="0"/>
              <w:rPr>
                <w:rFonts w:eastAsia="仿宋" w:cs="Times New Roman"/>
                <w:sz w:val="24"/>
                <w:szCs w:val="28"/>
              </w:rPr>
            </w:pPr>
          </w:p>
        </w:tc>
      </w:tr>
      <w:tr w14:paraId="03C5B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9" w:type="dxa"/>
            <w:vMerge w:val="continue"/>
            <w:vAlign w:val="center"/>
          </w:tcPr>
          <w:p w14:paraId="6C6F694C">
            <w:pPr>
              <w:widowControl w:val="0"/>
              <w:snapToGrid w:val="0"/>
              <w:spacing w:line="240" w:lineRule="auto"/>
              <w:ind w:firstLine="0" w:firstLineChars="0"/>
              <w:jc w:val="center"/>
              <w:rPr>
                <w:rFonts w:eastAsia="仿宋" w:cs="Times New Roman"/>
                <w:b/>
                <w:sz w:val="24"/>
                <w:szCs w:val="28"/>
              </w:rPr>
            </w:pPr>
          </w:p>
        </w:tc>
        <w:tc>
          <w:tcPr>
            <w:tcW w:w="545" w:type="dxa"/>
            <w:vAlign w:val="center"/>
          </w:tcPr>
          <w:p w14:paraId="09278B2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7</w:t>
            </w:r>
          </w:p>
        </w:tc>
        <w:tc>
          <w:tcPr>
            <w:tcW w:w="2448" w:type="dxa"/>
            <w:vAlign w:val="center"/>
          </w:tcPr>
          <w:p w14:paraId="4D11816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风险管理和处置流程：（1）逐日盯市（2）强平规则、执行平仓处理审批流程（3）违约处理</w:t>
            </w:r>
          </w:p>
        </w:tc>
        <w:tc>
          <w:tcPr>
            <w:tcW w:w="1088" w:type="dxa"/>
            <w:vAlign w:val="center"/>
          </w:tcPr>
          <w:p w14:paraId="339D1A8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038" w:type="dxa"/>
            <w:vAlign w:val="center"/>
          </w:tcPr>
          <w:p w14:paraId="2D0FF1B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57B965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7E72266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52" w:type="dxa"/>
            <w:vAlign w:val="center"/>
          </w:tcPr>
          <w:p w14:paraId="7C382F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276078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9" w:type="dxa"/>
            <w:vAlign w:val="center"/>
          </w:tcPr>
          <w:p w14:paraId="550C3CA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17EE43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C06429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45" w:type="dxa"/>
            <w:vAlign w:val="center"/>
          </w:tcPr>
          <w:p w14:paraId="67355333">
            <w:pPr>
              <w:widowControl w:val="0"/>
              <w:snapToGrid w:val="0"/>
              <w:spacing w:line="240" w:lineRule="auto"/>
              <w:ind w:firstLine="0" w:firstLineChars="0"/>
              <w:rPr>
                <w:rFonts w:eastAsia="仿宋" w:cs="Times New Roman"/>
                <w:sz w:val="24"/>
                <w:szCs w:val="28"/>
              </w:rPr>
            </w:pPr>
          </w:p>
        </w:tc>
      </w:tr>
      <w:tr w14:paraId="37BFA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9" w:type="dxa"/>
            <w:vMerge w:val="continue"/>
            <w:vAlign w:val="center"/>
          </w:tcPr>
          <w:p w14:paraId="53CFB181">
            <w:pPr>
              <w:widowControl w:val="0"/>
              <w:snapToGrid w:val="0"/>
              <w:spacing w:line="240" w:lineRule="auto"/>
              <w:ind w:firstLine="0" w:firstLineChars="0"/>
              <w:jc w:val="center"/>
              <w:rPr>
                <w:rFonts w:eastAsia="仿宋" w:cs="Times New Roman"/>
                <w:b/>
                <w:sz w:val="24"/>
                <w:szCs w:val="28"/>
              </w:rPr>
            </w:pPr>
          </w:p>
        </w:tc>
        <w:tc>
          <w:tcPr>
            <w:tcW w:w="545" w:type="dxa"/>
            <w:vAlign w:val="center"/>
          </w:tcPr>
          <w:p w14:paraId="61D9887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8</w:t>
            </w:r>
          </w:p>
        </w:tc>
        <w:tc>
          <w:tcPr>
            <w:tcW w:w="2448" w:type="dxa"/>
            <w:vAlign w:val="center"/>
          </w:tcPr>
          <w:p w14:paraId="715424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现货及期权业务的资金调拨、风险管理及处置等流程的人员岗位安排落实到位、职责清晰</w:t>
            </w:r>
          </w:p>
        </w:tc>
        <w:tc>
          <w:tcPr>
            <w:tcW w:w="1088" w:type="dxa"/>
            <w:vAlign w:val="center"/>
          </w:tcPr>
          <w:p w14:paraId="43F8E2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p w14:paraId="3E1A88A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38" w:type="dxa"/>
            <w:vAlign w:val="center"/>
          </w:tcPr>
          <w:p w14:paraId="1AF99D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751282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22A474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p w14:paraId="0AFD8B79">
            <w:pPr>
              <w:widowControl w:val="0"/>
              <w:snapToGrid w:val="0"/>
              <w:spacing w:line="240" w:lineRule="auto"/>
              <w:ind w:firstLine="0" w:firstLineChars="0"/>
              <w:rPr>
                <w:rFonts w:eastAsia="仿宋" w:cs="Times New Roman"/>
                <w:sz w:val="24"/>
                <w:szCs w:val="28"/>
              </w:rPr>
            </w:pPr>
          </w:p>
        </w:tc>
        <w:tc>
          <w:tcPr>
            <w:tcW w:w="952" w:type="dxa"/>
            <w:vAlign w:val="center"/>
          </w:tcPr>
          <w:p w14:paraId="3BDC4D2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D8924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59" w:type="dxa"/>
            <w:vAlign w:val="center"/>
          </w:tcPr>
          <w:p w14:paraId="614BAB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F04361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F9C4B8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45" w:type="dxa"/>
            <w:vAlign w:val="center"/>
          </w:tcPr>
          <w:p w14:paraId="3A0A49D8">
            <w:pPr>
              <w:widowControl w:val="0"/>
              <w:snapToGrid w:val="0"/>
              <w:spacing w:line="240" w:lineRule="auto"/>
              <w:ind w:firstLine="0" w:firstLineChars="0"/>
              <w:rPr>
                <w:rFonts w:eastAsia="仿宋" w:cs="Times New Roman"/>
                <w:sz w:val="24"/>
                <w:szCs w:val="28"/>
              </w:rPr>
            </w:pPr>
          </w:p>
        </w:tc>
      </w:tr>
    </w:tbl>
    <w:p w14:paraId="4EA0D5F8">
      <w:pPr>
        <w:spacing w:line="400" w:lineRule="exact"/>
        <w:ind w:firstLine="0" w:firstLineChars="0"/>
        <w:jc w:val="left"/>
        <w:rPr>
          <w:rFonts w:cs="Times New Roman"/>
          <w:sz w:val="28"/>
          <w:szCs w:val="21"/>
        </w:rPr>
      </w:pPr>
    </w:p>
    <w:p w14:paraId="0B3D73D9">
      <w:pPr>
        <w:spacing w:line="400" w:lineRule="exact"/>
        <w:ind w:firstLine="0" w:firstLineChars="0"/>
        <w:rPr>
          <w:rFonts w:eastAsia="黑体" w:cs="Times New Roman"/>
          <w:sz w:val="28"/>
          <w:szCs w:val="24"/>
        </w:rPr>
      </w:pPr>
      <w:r>
        <w:rPr>
          <w:rFonts w:hint="eastAsia" w:eastAsia="黑体" w:cs="Times New Roman"/>
          <w:sz w:val="28"/>
          <w:szCs w:val="24"/>
        </w:rPr>
        <w:t>二、功能要求</w:t>
      </w:r>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993"/>
        <w:gridCol w:w="697"/>
        <w:gridCol w:w="2274"/>
        <w:gridCol w:w="1075"/>
        <w:gridCol w:w="2094"/>
        <w:gridCol w:w="978"/>
        <w:gridCol w:w="1396"/>
        <w:gridCol w:w="557"/>
      </w:tblGrid>
      <w:tr w14:paraId="2C5B7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993" w:type="dxa"/>
            <w:vMerge w:val="restart"/>
            <w:vAlign w:val="center"/>
          </w:tcPr>
          <w:p w14:paraId="4F91FCC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697" w:type="dxa"/>
            <w:vMerge w:val="restart"/>
            <w:vAlign w:val="center"/>
          </w:tcPr>
          <w:p w14:paraId="2E9A8FC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274" w:type="dxa"/>
            <w:vMerge w:val="restart"/>
            <w:vAlign w:val="center"/>
          </w:tcPr>
          <w:p w14:paraId="7A8A449E">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075" w:type="dxa"/>
            <w:vMerge w:val="restart"/>
            <w:vAlign w:val="center"/>
          </w:tcPr>
          <w:p w14:paraId="2577494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094" w:type="dxa"/>
            <w:vMerge w:val="restart"/>
            <w:vAlign w:val="center"/>
          </w:tcPr>
          <w:p w14:paraId="6C41ECC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2931" w:type="dxa"/>
            <w:gridSpan w:val="3"/>
            <w:vAlign w:val="center"/>
          </w:tcPr>
          <w:p w14:paraId="3826321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03E17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993" w:type="dxa"/>
            <w:vMerge w:val="continue"/>
            <w:vAlign w:val="center"/>
          </w:tcPr>
          <w:p w14:paraId="4BBCE8A6">
            <w:pPr>
              <w:widowControl w:val="0"/>
              <w:snapToGrid w:val="0"/>
              <w:spacing w:line="240" w:lineRule="auto"/>
              <w:ind w:firstLine="0" w:firstLineChars="0"/>
              <w:jc w:val="center"/>
              <w:rPr>
                <w:rFonts w:eastAsia="仿宋" w:cs="Times New Roman"/>
                <w:b/>
                <w:sz w:val="24"/>
                <w:szCs w:val="28"/>
              </w:rPr>
            </w:pPr>
          </w:p>
        </w:tc>
        <w:tc>
          <w:tcPr>
            <w:tcW w:w="697" w:type="dxa"/>
            <w:vMerge w:val="continue"/>
            <w:vAlign w:val="center"/>
          </w:tcPr>
          <w:p w14:paraId="2935FA81">
            <w:pPr>
              <w:widowControl w:val="0"/>
              <w:snapToGrid w:val="0"/>
              <w:spacing w:line="240" w:lineRule="auto"/>
              <w:ind w:firstLine="0" w:firstLineChars="0"/>
              <w:jc w:val="center"/>
              <w:rPr>
                <w:rFonts w:eastAsia="仿宋" w:cs="Times New Roman"/>
                <w:b/>
                <w:sz w:val="24"/>
                <w:szCs w:val="28"/>
              </w:rPr>
            </w:pPr>
          </w:p>
        </w:tc>
        <w:tc>
          <w:tcPr>
            <w:tcW w:w="2274" w:type="dxa"/>
            <w:vMerge w:val="continue"/>
            <w:vAlign w:val="center"/>
          </w:tcPr>
          <w:p w14:paraId="16D7E44F">
            <w:pPr>
              <w:widowControl w:val="0"/>
              <w:snapToGrid w:val="0"/>
              <w:spacing w:line="240" w:lineRule="auto"/>
              <w:ind w:firstLine="0" w:firstLineChars="0"/>
              <w:jc w:val="center"/>
              <w:rPr>
                <w:rFonts w:eastAsia="仿宋" w:cs="Times New Roman"/>
                <w:b/>
                <w:sz w:val="24"/>
                <w:szCs w:val="28"/>
              </w:rPr>
            </w:pPr>
          </w:p>
        </w:tc>
        <w:tc>
          <w:tcPr>
            <w:tcW w:w="1075" w:type="dxa"/>
            <w:vMerge w:val="continue"/>
            <w:vAlign w:val="center"/>
          </w:tcPr>
          <w:p w14:paraId="735E5C13">
            <w:pPr>
              <w:widowControl w:val="0"/>
              <w:snapToGrid w:val="0"/>
              <w:spacing w:line="240" w:lineRule="auto"/>
              <w:ind w:firstLine="0" w:firstLineChars="0"/>
              <w:jc w:val="center"/>
              <w:rPr>
                <w:rFonts w:eastAsia="仿宋" w:cs="Times New Roman"/>
                <w:b/>
                <w:sz w:val="24"/>
                <w:szCs w:val="28"/>
              </w:rPr>
            </w:pPr>
          </w:p>
        </w:tc>
        <w:tc>
          <w:tcPr>
            <w:tcW w:w="2094" w:type="dxa"/>
            <w:vMerge w:val="continue"/>
            <w:vAlign w:val="center"/>
          </w:tcPr>
          <w:p w14:paraId="05FF39A5">
            <w:pPr>
              <w:widowControl w:val="0"/>
              <w:snapToGrid w:val="0"/>
              <w:spacing w:line="240" w:lineRule="auto"/>
              <w:ind w:firstLine="0" w:firstLineChars="0"/>
              <w:jc w:val="center"/>
              <w:rPr>
                <w:rFonts w:eastAsia="仿宋" w:cs="Times New Roman"/>
                <w:b/>
                <w:sz w:val="24"/>
                <w:szCs w:val="28"/>
              </w:rPr>
            </w:pPr>
          </w:p>
        </w:tc>
        <w:tc>
          <w:tcPr>
            <w:tcW w:w="978" w:type="dxa"/>
            <w:vAlign w:val="center"/>
          </w:tcPr>
          <w:p w14:paraId="2B53226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1396" w:type="dxa"/>
            <w:vAlign w:val="center"/>
          </w:tcPr>
          <w:p w14:paraId="2F5C348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检查结果</w:t>
            </w:r>
          </w:p>
        </w:tc>
        <w:tc>
          <w:tcPr>
            <w:tcW w:w="557" w:type="dxa"/>
            <w:vAlign w:val="center"/>
          </w:tcPr>
          <w:p w14:paraId="7F5891E2">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6EF9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Align w:val="center"/>
          </w:tcPr>
          <w:p w14:paraId="7CEC750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账户管理业务</w:t>
            </w:r>
          </w:p>
        </w:tc>
        <w:tc>
          <w:tcPr>
            <w:tcW w:w="697" w:type="dxa"/>
            <w:vAlign w:val="center"/>
          </w:tcPr>
          <w:p w14:paraId="16536611">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9</w:t>
            </w:r>
          </w:p>
        </w:tc>
        <w:tc>
          <w:tcPr>
            <w:tcW w:w="2274" w:type="dxa"/>
            <w:vAlign w:val="center"/>
          </w:tcPr>
          <w:p w14:paraId="187F54D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支持正常开立/注销客户普通证券账户、衍生品合约账户功能</w:t>
            </w:r>
          </w:p>
        </w:tc>
        <w:tc>
          <w:tcPr>
            <w:tcW w:w="1075" w:type="dxa"/>
            <w:vAlign w:val="center"/>
          </w:tcPr>
          <w:p w14:paraId="67E6C4E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1B1D85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56974B5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《账户指南》</w:t>
            </w:r>
          </w:p>
        </w:tc>
        <w:tc>
          <w:tcPr>
            <w:tcW w:w="978" w:type="dxa"/>
            <w:vAlign w:val="center"/>
          </w:tcPr>
          <w:p w14:paraId="0531A8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D1893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12E45C6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DB8ED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1A84AF0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F3C14DB">
            <w:pPr>
              <w:widowControl w:val="0"/>
              <w:snapToGrid w:val="0"/>
              <w:spacing w:line="240" w:lineRule="auto"/>
              <w:ind w:firstLine="0" w:firstLineChars="0"/>
              <w:rPr>
                <w:rFonts w:eastAsia="仿宋" w:cs="Times New Roman"/>
                <w:sz w:val="24"/>
                <w:szCs w:val="28"/>
              </w:rPr>
            </w:pPr>
          </w:p>
        </w:tc>
      </w:tr>
      <w:tr w14:paraId="70994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restart"/>
            <w:vAlign w:val="center"/>
          </w:tcPr>
          <w:p w14:paraId="62FE800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结算日常业务</w:t>
            </w:r>
          </w:p>
        </w:tc>
        <w:tc>
          <w:tcPr>
            <w:tcW w:w="697" w:type="dxa"/>
            <w:vAlign w:val="center"/>
          </w:tcPr>
          <w:p w14:paraId="58821F3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10</w:t>
            </w:r>
          </w:p>
        </w:tc>
        <w:tc>
          <w:tcPr>
            <w:tcW w:w="2274" w:type="dxa"/>
            <w:vAlign w:val="center"/>
          </w:tcPr>
          <w:p w14:paraId="12F3CA2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支持结算账户设置，现货和期权多边净额结算</w:t>
            </w:r>
          </w:p>
        </w:tc>
        <w:tc>
          <w:tcPr>
            <w:tcW w:w="1075" w:type="dxa"/>
            <w:vAlign w:val="center"/>
          </w:tcPr>
          <w:p w14:paraId="2D9E55B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2E4A2A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E5C1A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5E646C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tc>
        <w:tc>
          <w:tcPr>
            <w:tcW w:w="978" w:type="dxa"/>
            <w:vAlign w:val="center"/>
          </w:tcPr>
          <w:p w14:paraId="4DA7951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10F1C7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2BC5141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2A1B6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0F2033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F71821B">
            <w:pPr>
              <w:widowControl w:val="0"/>
              <w:snapToGrid w:val="0"/>
              <w:spacing w:line="240" w:lineRule="auto"/>
              <w:ind w:firstLine="0" w:firstLineChars="0"/>
              <w:rPr>
                <w:rFonts w:eastAsia="仿宋" w:cs="Times New Roman"/>
                <w:sz w:val="24"/>
                <w:szCs w:val="28"/>
              </w:rPr>
            </w:pPr>
          </w:p>
        </w:tc>
      </w:tr>
      <w:tr w14:paraId="73AE8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43BAEBDA">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74F6F245">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11</w:t>
            </w:r>
          </w:p>
        </w:tc>
        <w:tc>
          <w:tcPr>
            <w:tcW w:w="2274" w:type="dxa"/>
            <w:vAlign w:val="center"/>
          </w:tcPr>
          <w:p w14:paraId="40B9265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支持清算后数据对账</w:t>
            </w:r>
          </w:p>
        </w:tc>
        <w:tc>
          <w:tcPr>
            <w:tcW w:w="1075" w:type="dxa"/>
            <w:vAlign w:val="center"/>
          </w:tcPr>
          <w:p w14:paraId="1A01D42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53353E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3CA3F12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7867558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tc>
        <w:tc>
          <w:tcPr>
            <w:tcW w:w="978" w:type="dxa"/>
            <w:vAlign w:val="center"/>
          </w:tcPr>
          <w:p w14:paraId="2F4A3A7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DB200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40CE33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19C314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01BBC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32A954D">
            <w:pPr>
              <w:widowControl w:val="0"/>
              <w:snapToGrid w:val="0"/>
              <w:spacing w:line="240" w:lineRule="auto"/>
              <w:ind w:firstLine="0" w:firstLineChars="0"/>
              <w:rPr>
                <w:rFonts w:eastAsia="仿宋" w:cs="Times New Roman"/>
                <w:sz w:val="24"/>
                <w:szCs w:val="28"/>
              </w:rPr>
            </w:pPr>
          </w:p>
        </w:tc>
      </w:tr>
      <w:tr w14:paraId="7EEAA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0A2405FD">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230660C0">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12</w:t>
            </w:r>
          </w:p>
        </w:tc>
        <w:tc>
          <w:tcPr>
            <w:tcW w:w="2274" w:type="dxa"/>
            <w:vAlign w:val="center"/>
          </w:tcPr>
          <w:p w14:paraId="46BA75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支持资金划付功能及衍生品资金管理（包括对账、结息等）</w:t>
            </w:r>
          </w:p>
        </w:tc>
        <w:tc>
          <w:tcPr>
            <w:tcW w:w="1075" w:type="dxa"/>
            <w:vAlign w:val="center"/>
          </w:tcPr>
          <w:p w14:paraId="7A2E07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52E2B6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5E85258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34FD096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tc>
        <w:tc>
          <w:tcPr>
            <w:tcW w:w="978" w:type="dxa"/>
            <w:vAlign w:val="center"/>
          </w:tcPr>
          <w:p w14:paraId="6A5F77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B7B78E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7ADB083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FD72A6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C81A3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546D4486">
            <w:pPr>
              <w:widowControl w:val="0"/>
              <w:snapToGrid w:val="0"/>
              <w:spacing w:line="240" w:lineRule="auto"/>
              <w:ind w:firstLine="0" w:firstLineChars="0"/>
              <w:rPr>
                <w:rFonts w:eastAsia="仿宋" w:cs="Times New Roman"/>
                <w:sz w:val="24"/>
                <w:szCs w:val="28"/>
              </w:rPr>
            </w:pPr>
          </w:p>
        </w:tc>
      </w:tr>
      <w:tr w14:paraId="6FED8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0B32D0F0">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37864CA6">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13</w:t>
            </w:r>
          </w:p>
        </w:tc>
        <w:tc>
          <w:tcPr>
            <w:tcW w:w="2274" w:type="dxa"/>
            <w:vAlign w:val="center"/>
          </w:tcPr>
          <w:p w14:paraId="36373E6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支持交易结算及行权结算</w:t>
            </w:r>
          </w:p>
        </w:tc>
        <w:tc>
          <w:tcPr>
            <w:tcW w:w="1075" w:type="dxa"/>
            <w:vAlign w:val="center"/>
          </w:tcPr>
          <w:p w14:paraId="0061641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334A61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478E820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411FE45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tc>
        <w:tc>
          <w:tcPr>
            <w:tcW w:w="978" w:type="dxa"/>
            <w:vAlign w:val="center"/>
          </w:tcPr>
          <w:p w14:paraId="7F86EF1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68EFB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6662AFB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72FD22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42937F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C540FC2">
            <w:pPr>
              <w:widowControl w:val="0"/>
              <w:snapToGrid w:val="0"/>
              <w:spacing w:line="240" w:lineRule="auto"/>
              <w:ind w:firstLine="0" w:firstLineChars="0"/>
              <w:rPr>
                <w:rFonts w:eastAsia="仿宋" w:cs="Times New Roman"/>
                <w:sz w:val="24"/>
                <w:szCs w:val="28"/>
              </w:rPr>
            </w:pPr>
          </w:p>
        </w:tc>
      </w:tr>
      <w:tr w14:paraId="00B08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restart"/>
            <w:vAlign w:val="center"/>
          </w:tcPr>
          <w:p w14:paraId="0622B67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结算风险控制</w:t>
            </w:r>
          </w:p>
        </w:tc>
        <w:tc>
          <w:tcPr>
            <w:tcW w:w="697" w:type="dxa"/>
            <w:vAlign w:val="center"/>
          </w:tcPr>
          <w:p w14:paraId="7CBF30D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14</w:t>
            </w:r>
          </w:p>
        </w:tc>
        <w:tc>
          <w:tcPr>
            <w:tcW w:w="2274" w:type="dxa"/>
            <w:vAlign w:val="center"/>
          </w:tcPr>
          <w:p w14:paraId="4DC2D0F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支持逐日盯市保证金收取、备兑担保证券锁定</w:t>
            </w:r>
          </w:p>
        </w:tc>
        <w:tc>
          <w:tcPr>
            <w:tcW w:w="1075" w:type="dxa"/>
            <w:vAlign w:val="center"/>
          </w:tcPr>
          <w:p w14:paraId="45D6D08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5D0A5AC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714963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78" w:type="dxa"/>
            <w:vAlign w:val="center"/>
          </w:tcPr>
          <w:p w14:paraId="2781C6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8A72B7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003BD14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11D817C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2A1469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C22735C">
            <w:pPr>
              <w:widowControl w:val="0"/>
              <w:snapToGrid w:val="0"/>
              <w:spacing w:line="240" w:lineRule="auto"/>
              <w:ind w:firstLine="0" w:firstLineChars="0"/>
              <w:rPr>
                <w:rFonts w:eastAsia="仿宋" w:cs="Times New Roman"/>
                <w:sz w:val="24"/>
                <w:szCs w:val="28"/>
              </w:rPr>
            </w:pPr>
          </w:p>
        </w:tc>
      </w:tr>
      <w:tr w14:paraId="33B3C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10869D6D">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175223A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15</w:t>
            </w:r>
          </w:p>
        </w:tc>
        <w:tc>
          <w:tcPr>
            <w:tcW w:w="2274" w:type="dxa"/>
            <w:vAlign w:val="center"/>
          </w:tcPr>
          <w:p w14:paraId="452FC1A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支持A股备付金和衍生品保证金的监控</w:t>
            </w:r>
          </w:p>
        </w:tc>
        <w:tc>
          <w:tcPr>
            <w:tcW w:w="1075" w:type="dxa"/>
            <w:vAlign w:val="center"/>
          </w:tcPr>
          <w:p w14:paraId="5426353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58D58BC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1361101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0DB3FDC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tc>
        <w:tc>
          <w:tcPr>
            <w:tcW w:w="978" w:type="dxa"/>
            <w:vAlign w:val="center"/>
          </w:tcPr>
          <w:p w14:paraId="4D1C966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CC40EE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687D2B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4EB8D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BA2B69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2C437A33">
            <w:pPr>
              <w:widowControl w:val="0"/>
              <w:snapToGrid w:val="0"/>
              <w:spacing w:line="240" w:lineRule="auto"/>
              <w:ind w:firstLine="0" w:firstLineChars="0"/>
              <w:rPr>
                <w:rFonts w:eastAsia="仿宋" w:cs="Times New Roman"/>
                <w:sz w:val="24"/>
                <w:szCs w:val="28"/>
              </w:rPr>
            </w:pPr>
          </w:p>
        </w:tc>
      </w:tr>
      <w:tr w14:paraId="528D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137E8123">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772CC48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16</w:t>
            </w:r>
          </w:p>
        </w:tc>
        <w:tc>
          <w:tcPr>
            <w:tcW w:w="2274" w:type="dxa"/>
            <w:vAlign w:val="center"/>
          </w:tcPr>
          <w:p w14:paraId="0B7D2ED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支持期权行权证券交收不足和资金交收违约的处理、证券转处置及处置证券的转回</w:t>
            </w:r>
          </w:p>
        </w:tc>
        <w:tc>
          <w:tcPr>
            <w:tcW w:w="1075" w:type="dxa"/>
            <w:vAlign w:val="center"/>
          </w:tcPr>
          <w:p w14:paraId="5C7AAAD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68FA12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5CAEB64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78" w:type="dxa"/>
            <w:vAlign w:val="center"/>
          </w:tcPr>
          <w:p w14:paraId="3594A4A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27D7E1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435B605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238BF2F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4AF42C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144C6A11">
            <w:pPr>
              <w:widowControl w:val="0"/>
              <w:snapToGrid w:val="0"/>
              <w:spacing w:line="240" w:lineRule="auto"/>
              <w:ind w:firstLine="0" w:firstLineChars="0"/>
              <w:rPr>
                <w:rFonts w:eastAsia="仿宋" w:cs="Times New Roman"/>
                <w:sz w:val="24"/>
                <w:szCs w:val="28"/>
              </w:rPr>
            </w:pPr>
          </w:p>
        </w:tc>
      </w:tr>
      <w:tr w14:paraId="68CD8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22A71CB7">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0005503B">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17</w:t>
            </w:r>
          </w:p>
        </w:tc>
        <w:tc>
          <w:tcPr>
            <w:tcW w:w="2274" w:type="dxa"/>
            <w:vAlign w:val="center"/>
          </w:tcPr>
          <w:p w14:paraId="66E3A0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支持结算担保金、现货备付金、现货结算保证金的管理</w:t>
            </w:r>
          </w:p>
        </w:tc>
        <w:tc>
          <w:tcPr>
            <w:tcW w:w="1075" w:type="dxa"/>
            <w:vAlign w:val="center"/>
          </w:tcPr>
          <w:p w14:paraId="4589A50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p w14:paraId="4C8C08CE">
            <w:pPr>
              <w:widowControl w:val="0"/>
              <w:snapToGrid w:val="0"/>
              <w:spacing w:line="240" w:lineRule="auto"/>
              <w:ind w:firstLine="0" w:firstLineChars="0"/>
              <w:rPr>
                <w:rFonts w:eastAsia="仿宋" w:cs="Times New Roman"/>
                <w:sz w:val="24"/>
                <w:szCs w:val="28"/>
              </w:rPr>
            </w:pPr>
          </w:p>
        </w:tc>
        <w:tc>
          <w:tcPr>
            <w:tcW w:w="2094" w:type="dxa"/>
            <w:vAlign w:val="center"/>
          </w:tcPr>
          <w:p w14:paraId="333AA0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6B389E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p w14:paraId="761C417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《中登上海结算指南》</w:t>
            </w:r>
          </w:p>
        </w:tc>
        <w:tc>
          <w:tcPr>
            <w:tcW w:w="978" w:type="dxa"/>
            <w:vAlign w:val="center"/>
          </w:tcPr>
          <w:p w14:paraId="3509277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B3BA59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7A4D90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CB6838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0E140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C648EF7">
            <w:pPr>
              <w:widowControl w:val="0"/>
              <w:snapToGrid w:val="0"/>
              <w:spacing w:line="240" w:lineRule="auto"/>
              <w:ind w:firstLine="0" w:firstLineChars="0"/>
              <w:rPr>
                <w:rFonts w:eastAsia="仿宋" w:cs="Times New Roman"/>
                <w:sz w:val="24"/>
                <w:szCs w:val="28"/>
              </w:rPr>
            </w:pPr>
          </w:p>
        </w:tc>
      </w:tr>
      <w:tr w14:paraId="58742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2FC2D82A">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60EB7FF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18</w:t>
            </w:r>
          </w:p>
        </w:tc>
        <w:tc>
          <w:tcPr>
            <w:tcW w:w="2274" w:type="dxa"/>
            <w:vAlign w:val="center"/>
          </w:tcPr>
          <w:p w14:paraId="45986C1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支持保证金不足及备兑证券不足的风险监控、强行平仓处理</w:t>
            </w:r>
          </w:p>
        </w:tc>
        <w:tc>
          <w:tcPr>
            <w:tcW w:w="1075" w:type="dxa"/>
            <w:vAlign w:val="center"/>
          </w:tcPr>
          <w:p w14:paraId="0376730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7227F63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《风控管理办法》</w:t>
            </w:r>
          </w:p>
          <w:p w14:paraId="021D5C9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3B7516B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78" w:type="dxa"/>
            <w:vAlign w:val="center"/>
          </w:tcPr>
          <w:p w14:paraId="15F4735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DF9EF2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5858927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8F8D81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5D87E9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421FC923">
            <w:pPr>
              <w:widowControl w:val="0"/>
              <w:snapToGrid w:val="0"/>
              <w:spacing w:line="240" w:lineRule="auto"/>
              <w:ind w:firstLine="0" w:firstLineChars="0"/>
              <w:rPr>
                <w:rFonts w:eastAsia="仿宋" w:cs="Times New Roman"/>
                <w:sz w:val="24"/>
                <w:szCs w:val="28"/>
              </w:rPr>
            </w:pPr>
          </w:p>
        </w:tc>
      </w:tr>
      <w:tr w14:paraId="22E36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7A3F9B03">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752AC13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19</w:t>
            </w:r>
          </w:p>
        </w:tc>
        <w:tc>
          <w:tcPr>
            <w:tcW w:w="2274" w:type="dxa"/>
            <w:vAlign w:val="center"/>
          </w:tcPr>
          <w:p w14:paraId="04444AC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支持行权临近日到期合约的监控；支持临近到期组合策略解除的监控</w:t>
            </w:r>
          </w:p>
        </w:tc>
        <w:tc>
          <w:tcPr>
            <w:tcW w:w="1075" w:type="dxa"/>
            <w:vAlign w:val="center"/>
          </w:tcPr>
          <w:p w14:paraId="4AF68E3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6FBB85F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08100D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《上海证券交易所、中国证券登记结算有限责任公司股票期权组合策略业务实施细则》</w:t>
            </w:r>
          </w:p>
          <w:p w14:paraId="6AF0676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78" w:type="dxa"/>
            <w:vAlign w:val="center"/>
          </w:tcPr>
          <w:p w14:paraId="23BB69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7CD3A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4753297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C69CA8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618AE41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285D6B20">
            <w:pPr>
              <w:widowControl w:val="0"/>
              <w:snapToGrid w:val="0"/>
              <w:spacing w:line="240" w:lineRule="auto"/>
              <w:ind w:firstLine="0" w:firstLineChars="0"/>
              <w:rPr>
                <w:rFonts w:eastAsia="仿宋" w:cs="Times New Roman"/>
                <w:sz w:val="24"/>
                <w:szCs w:val="28"/>
              </w:rPr>
            </w:pPr>
          </w:p>
        </w:tc>
      </w:tr>
      <w:tr w14:paraId="2B98B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restart"/>
            <w:vAlign w:val="center"/>
          </w:tcPr>
          <w:p w14:paraId="0A1360C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结算技术系统</w:t>
            </w:r>
          </w:p>
        </w:tc>
        <w:tc>
          <w:tcPr>
            <w:tcW w:w="697" w:type="dxa"/>
            <w:vAlign w:val="center"/>
          </w:tcPr>
          <w:p w14:paraId="24753758">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20</w:t>
            </w:r>
          </w:p>
        </w:tc>
        <w:tc>
          <w:tcPr>
            <w:tcW w:w="2274" w:type="dxa"/>
            <w:vAlign w:val="center"/>
          </w:tcPr>
          <w:p w14:paraId="3FD8FE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支持获取日终业务回报文件，正确处理中国结算开户/销户通知结果；开户/注销指令权限设置责任明确</w:t>
            </w:r>
          </w:p>
        </w:tc>
        <w:tc>
          <w:tcPr>
            <w:tcW w:w="1075" w:type="dxa"/>
            <w:vAlign w:val="center"/>
          </w:tcPr>
          <w:p w14:paraId="02A8D5B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221C67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78" w:type="dxa"/>
            <w:vAlign w:val="center"/>
          </w:tcPr>
          <w:p w14:paraId="36BEBA9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E09F0B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6E63F0C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0B199FE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118E4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2F351DF">
            <w:pPr>
              <w:widowControl w:val="0"/>
              <w:snapToGrid w:val="0"/>
              <w:spacing w:line="240" w:lineRule="auto"/>
              <w:ind w:firstLine="0" w:firstLineChars="0"/>
              <w:rPr>
                <w:rFonts w:eastAsia="仿宋" w:cs="Times New Roman"/>
                <w:sz w:val="24"/>
                <w:szCs w:val="28"/>
              </w:rPr>
            </w:pPr>
          </w:p>
        </w:tc>
      </w:tr>
      <w:tr w14:paraId="001F1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1D2DBB63">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7E7A76CA">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21</w:t>
            </w:r>
          </w:p>
        </w:tc>
        <w:tc>
          <w:tcPr>
            <w:tcW w:w="2274" w:type="dxa"/>
            <w:vAlign w:val="center"/>
          </w:tcPr>
          <w:p w14:paraId="3B2C1B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系统能够根据文件发送结束标志接收中国结算信箱期权系统相关文件；系统能够对日终文件自动、准确的进行清算交收处理；系统能够每周对全量数据进行比对并报告异常结果。</w:t>
            </w:r>
          </w:p>
        </w:tc>
        <w:tc>
          <w:tcPr>
            <w:tcW w:w="1075" w:type="dxa"/>
            <w:vAlign w:val="center"/>
          </w:tcPr>
          <w:p w14:paraId="262A710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453DF95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759397D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78" w:type="dxa"/>
            <w:vAlign w:val="center"/>
          </w:tcPr>
          <w:p w14:paraId="3A34B1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29117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634E11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44FD1BF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3D25A9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8E04E0C">
            <w:pPr>
              <w:widowControl w:val="0"/>
              <w:snapToGrid w:val="0"/>
              <w:spacing w:line="240" w:lineRule="auto"/>
              <w:ind w:firstLine="0" w:firstLineChars="0"/>
              <w:rPr>
                <w:rFonts w:eastAsia="仿宋" w:cs="Times New Roman"/>
                <w:sz w:val="24"/>
                <w:szCs w:val="28"/>
              </w:rPr>
            </w:pPr>
          </w:p>
        </w:tc>
      </w:tr>
      <w:tr w14:paraId="6ABE4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42F6FD15">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1857EE8B">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22</w:t>
            </w:r>
          </w:p>
        </w:tc>
        <w:tc>
          <w:tcPr>
            <w:tcW w:w="2274" w:type="dxa"/>
            <w:vAlign w:val="center"/>
          </w:tcPr>
          <w:p w14:paraId="0066F9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清算系统存在冗余灾备系统，能够在发生宕机、掉电或其他不可抗力时及时恢复</w:t>
            </w:r>
          </w:p>
        </w:tc>
        <w:tc>
          <w:tcPr>
            <w:tcW w:w="1075" w:type="dxa"/>
            <w:vAlign w:val="center"/>
          </w:tcPr>
          <w:p w14:paraId="0972136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785F516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7BC1BA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78" w:type="dxa"/>
            <w:vAlign w:val="center"/>
          </w:tcPr>
          <w:p w14:paraId="522A89A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4F080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597104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5FC776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022936D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02289A90">
            <w:pPr>
              <w:widowControl w:val="0"/>
              <w:snapToGrid w:val="0"/>
              <w:spacing w:line="240" w:lineRule="auto"/>
              <w:ind w:firstLine="0" w:firstLineChars="0"/>
              <w:rPr>
                <w:rFonts w:eastAsia="仿宋" w:cs="Times New Roman"/>
                <w:sz w:val="24"/>
                <w:szCs w:val="28"/>
              </w:rPr>
            </w:pPr>
          </w:p>
        </w:tc>
      </w:tr>
      <w:tr w14:paraId="6DF94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993" w:type="dxa"/>
            <w:vMerge w:val="continue"/>
            <w:vAlign w:val="center"/>
          </w:tcPr>
          <w:p w14:paraId="20C42BA6">
            <w:pPr>
              <w:widowControl w:val="0"/>
              <w:snapToGrid w:val="0"/>
              <w:spacing w:line="240" w:lineRule="auto"/>
              <w:ind w:firstLine="0" w:firstLineChars="0"/>
              <w:jc w:val="center"/>
              <w:rPr>
                <w:rFonts w:eastAsia="仿宋" w:cs="Times New Roman"/>
                <w:b/>
                <w:sz w:val="24"/>
                <w:szCs w:val="28"/>
              </w:rPr>
            </w:pPr>
          </w:p>
        </w:tc>
        <w:tc>
          <w:tcPr>
            <w:tcW w:w="697" w:type="dxa"/>
            <w:vAlign w:val="center"/>
          </w:tcPr>
          <w:p w14:paraId="20CB36FB">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23</w:t>
            </w:r>
          </w:p>
        </w:tc>
        <w:tc>
          <w:tcPr>
            <w:tcW w:w="2274" w:type="dxa"/>
            <w:vAlign w:val="center"/>
          </w:tcPr>
          <w:p w14:paraId="2F08ED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系统对中国结算的日终文件留有备份；并应支持在系统出错或意外中断等情况下根据备份日终文件重新进行清算。</w:t>
            </w:r>
          </w:p>
        </w:tc>
        <w:tc>
          <w:tcPr>
            <w:tcW w:w="1075" w:type="dxa"/>
            <w:vAlign w:val="center"/>
          </w:tcPr>
          <w:p w14:paraId="047C3DC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现场操作</w:t>
            </w:r>
          </w:p>
        </w:tc>
        <w:tc>
          <w:tcPr>
            <w:tcW w:w="2094" w:type="dxa"/>
            <w:vAlign w:val="center"/>
          </w:tcPr>
          <w:p w14:paraId="2D5B04D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《结算规则》</w:t>
            </w:r>
          </w:p>
          <w:p w14:paraId="17D658A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《期权结算业务指南》</w:t>
            </w:r>
          </w:p>
        </w:tc>
        <w:tc>
          <w:tcPr>
            <w:tcW w:w="978" w:type="dxa"/>
            <w:vAlign w:val="center"/>
          </w:tcPr>
          <w:p w14:paraId="15137AE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75F866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1396" w:type="dxa"/>
            <w:vAlign w:val="center"/>
          </w:tcPr>
          <w:p w14:paraId="16B4E38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w:t>
            </w:r>
          </w:p>
          <w:p w14:paraId="3488B8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□有条件通过</w:t>
            </w:r>
          </w:p>
          <w:p w14:paraId="7C299A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□不通过</w:t>
            </w:r>
          </w:p>
        </w:tc>
        <w:tc>
          <w:tcPr>
            <w:tcW w:w="557" w:type="dxa"/>
            <w:vAlign w:val="center"/>
          </w:tcPr>
          <w:p w14:paraId="632A6F36">
            <w:pPr>
              <w:widowControl w:val="0"/>
              <w:snapToGrid w:val="0"/>
              <w:spacing w:line="240" w:lineRule="auto"/>
              <w:ind w:firstLine="0" w:firstLineChars="0"/>
              <w:rPr>
                <w:rFonts w:eastAsia="仿宋" w:cs="Times New Roman"/>
                <w:sz w:val="24"/>
                <w:szCs w:val="28"/>
              </w:rPr>
            </w:pPr>
          </w:p>
        </w:tc>
      </w:tr>
    </w:tbl>
    <w:p w14:paraId="0FE940FD">
      <w:pPr>
        <w:spacing w:line="400" w:lineRule="exact"/>
        <w:ind w:firstLine="0" w:firstLineChars="0"/>
        <w:jc w:val="left"/>
        <w:rPr>
          <w:rFonts w:cs="Times New Roman"/>
          <w:sz w:val="28"/>
          <w:szCs w:val="21"/>
        </w:rPr>
      </w:pPr>
    </w:p>
    <w:p w14:paraId="026EDE97">
      <w:pPr>
        <w:spacing w:line="400" w:lineRule="exact"/>
        <w:ind w:firstLine="0" w:firstLineChars="0"/>
        <w:jc w:val="left"/>
        <w:rPr>
          <w:rFonts w:cs="Times New Roman"/>
          <w:sz w:val="28"/>
          <w:szCs w:val="21"/>
        </w:rPr>
      </w:pPr>
      <w:bookmarkStart w:id="574" w:name="_Toc57819616"/>
      <w:r>
        <w:rPr>
          <w:rFonts w:cs="Times New Roman"/>
          <w:sz w:val="28"/>
          <w:szCs w:val="21"/>
        </w:rPr>
        <w:br w:type="page"/>
      </w:r>
    </w:p>
    <w:p w14:paraId="1CC22CB2">
      <w:pPr>
        <w:spacing w:line="400" w:lineRule="exact"/>
        <w:ind w:firstLine="0" w:firstLineChars="0"/>
        <w:jc w:val="center"/>
        <w:rPr>
          <w:rFonts w:hint="eastAsia" w:eastAsia="楷体" w:cs="Times New Roman"/>
          <w:sz w:val="28"/>
          <w:szCs w:val="21"/>
        </w:rPr>
      </w:pPr>
    </w:p>
    <w:p w14:paraId="725DEE91">
      <w:pPr>
        <w:spacing w:line="400" w:lineRule="exact"/>
        <w:ind w:firstLine="0" w:firstLineChars="0"/>
        <w:jc w:val="center"/>
        <w:rPr>
          <w:rFonts w:hint="eastAsia" w:eastAsia="楷体" w:cs="Times New Roman"/>
          <w:sz w:val="28"/>
          <w:szCs w:val="21"/>
        </w:rPr>
      </w:pPr>
      <w:r>
        <w:rPr>
          <w:rFonts w:hint="eastAsia" w:eastAsia="楷体" w:cs="Times New Roman"/>
          <w:sz w:val="28"/>
          <w:szCs w:val="21"/>
        </w:rPr>
        <w:t>第四部分</w:t>
      </w:r>
      <w:bookmarkEnd w:id="574"/>
    </w:p>
    <w:p w14:paraId="189614DC">
      <w:pPr>
        <w:spacing w:line="400" w:lineRule="exact"/>
        <w:ind w:firstLine="0" w:firstLineChars="0"/>
        <w:jc w:val="center"/>
        <w:rPr>
          <w:rFonts w:hint="eastAsia" w:eastAsia="楷体" w:cs="Times New Roman"/>
          <w:sz w:val="28"/>
          <w:szCs w:val="21"/>
        </w:rPr>
      </w:pPr>
      <w:bookmarkStart w:id="575" w:name="OLE_LINK4"/>
      <w:bookmarkStart w:id="576" w:name="OLE_LINK3"/>
      <w:bookmarkStart w:id="577" w:name="_Toc57819617"/>
      <w:r>
        <w:rPr>
          <w:rFonts w:hint="eastAsia" w:eastAsia="楷体" w:cs="Times New Roman"/>
          <w:sz w:val="28"/>
          <w:szCs w:val="21"/>
        </w:rPr>
        <w:t>期货公司期权经纪业务信息系统</w:t>
      </w:r>
      <w:bookmarkEnd w:id="575"/>
      <w:bookmarkEnd w:id="576"/>
      <w:r>
        <w:rPr>
          <w:rFonts w:hint="eastAsia" w:eastAsia="楷体" w:cs="Times New Roman"/>
          <w:sz w:val="28"/>
          <w:szCs w:val="21"/>
        </w:rPr>
        <w:t>技术就绪工作检查</w:t>
      </w:r>
      <w:bookmarkEnd w:id="577"/>
    </w:p>
    <w:p w14:paraId="7195FBAE">
      <w:pPr>
        <w:pStyle w:val="2"/>
      </w:pPr>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087"/>
        <w:gridCol w:w="807"/>
        <w:gridCol w:w="2399"/>
        <w:gridCol w:w="1074"/>
        <w:gridCol w:w="2145"/>
        <w:gridCol w:w="1074"/>
        <w:gridCol w:w="807"/>
        <w:gridCol w:w="671"/>
      </w:tblGrid>
      <w:tr w14:paraId="21D36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087" w:type="dxa"/>
            <w:vMerge w:val="restart"/>
            <w:vAlign w:val="center"/>
          </w:tcPr>
          <w:p w14:paraId="50AB00C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807" w:type="dxa"/>
            <w:vMerge w:val="restart"/>
            <w:vAlign w:val="center"/>
          </w:tcPr>
          <w:p w14:paraId="4B49CFB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2399" w:type="dxa"/>
            <w:vMerge w:val="restart"/>
            <w:vAlign w:val="center"/>
          </w:tcPr>
          <w:p w14:paraId="69B2C89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1074" w:type="dxa"/>
            <w:vMerge w:val="restart"/>
            <w:vAlign w:val="center"/>
          </w:tcPr>
          <w:p w14:paraId="0AC647A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2145" w:type="dxa"/>
            <w:vMerge w:val="restart"/>
            <w:vAlign w:val="center"/>
          </w:tcPr>
          <w:p w14:paraId="73B6F893">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2552" w:type="dxa"/>
            <w:gridSpan w:val="3"/>
            <w:vAlign w:val="center"/>
          </w:tcPr>
          <w:p w14:paraId="4D6B20B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5F9B9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087" w:type="dxa"/>
            <w:vMerge w:val="continue"/>
            <w:tcBorders>
              <w:bottom w:val="single" w:color="auto" w:sz="4" w:space="0"/>
            </w:tcBorders>
            <w:vAlign w:val="center"/>
          </w:tcPr>
          <w:p w14:paraId="4710C0AD">
            <w:pPr>
              <w:widowControl w:val="0"/>
              <w:snapToGrid w:val="0"/>
              <w:spacing w:line="240" w:lineRule="auto"/>
              <w:ind w:firstLine="0" w:firstLineChars="0"/>
              <w:jc w:val="center"/>
              <w:rPr>
                <w:rFonts w:eastAsia="仿宋" w:cs="Times New Roman"/>
                <w:b/>
                <w:sz w:val="24"/>
                <w:szCs w:val="28"/>
              </w:rPr>
            </w:pPr>
          </w:p>
        </w:tc>
        <w:tc>
          <w:tcPr>
            <w:tcW w:w="807" w:type="dxa"/>
            <w:vMerge w:val="continue"/>
            <w:tcBorders>
              <w:bottom w:val="single" w:color="auto" w:sz="4" w:space="0"/>
            </w:tcBorders>
            <w:vAlign w:val="center"/>
          </w:tcPr>
          <w:p w14:paraId="68BC7873">
            <w:pPr>
              <w:widowControl w:val="0"/>
              <w:snapToGrid w:val="0"/>
              <w:spacing w:line="240" w:lineRule="auto"/>
              <w:ind w:firstLine="0" w:firstLineChars="0"/>
              <w:jc w:val="center"/>
              <w:rPr>
                <w:rFonts w:eastAsia="仿宋" w:cs="Times New Roman"/>
                <w:b/>
                <w:sz w:val="24"/>
                <w:szCs w:val="28"/>
              </w:rPr>
            </w:pPr>
          </w:p>
        </w:tc>
        <w:tc>
          <w:tcPr>
            <w:tcW w:w="2399" w:type="dxa"/>
            <w:vMerge w:val="continue"/>
            <w:tcBorders>
              <w:bottom w:val="single" w:color="auto" w:sz="4" w:space="0"/>
            </w:tcBorders>
            <w:vAlign w:val="center"/>
          </w:tcPr>
          <w:p w14:paraId="2165B82F">
            <w:pPr>
              <w:widowControl w:val="0"/>
              <w:snapToGrid w:val="0"/>
              <w:spacing w:line="240" w:lineRule="auto"/>
              <w:ind w:firstLine="0" w:firstLineChars="0"/>
              <w:jc w:val="center"/>
              <w:rPr>
                <w:rFonts w:eastAsia="仿宋" w:cs="Times New Roman"/>
                <w:b/>
                <w:sz w:val="24"/>
                <w:szCs w:val="28"/>
              </w:rPr>
            </w:pPr>
          </w:p>
        </w:tc>
        <w:tc>
          <w:tcPr>
            <w:tcW w:w="1074" w:type="dxa"/>
            <w:vMerge w:val="continue"/>
            <w:tcBorders>
              <w:bottom w:val="single" w:color="auto" w:sz="4" w:space="0"/>
            </w:tcBorders>
            <w:vAlign w:val="center"/>
          </w:tcPr>
          <w:p w14:paraId="5657A5D6">
            <w:pPr>
              <w:widowControl w:val="0"/>
              <w:snapToGrid w:val="0"/>
              <w:spacing w:line="240" w:lineRule="auto"/>
              <w:ind w:firstLine="0" w:firstLineChars="0"/>
              <w:jc w:val="center"/>
              <w:rPr>
                <w:rFonts w:eastAsia="仿宋" w:cs="Times New Roman"/>
                <w:b/>
                <w:sz w:val="24"/>
                <w:szCs w:val="28"/>
              </w:rPr>
            </w:pPr>
          </w:p>
        </w:tc>
        <w:tc>
          <w:tcPr>
            <w:tcW w:w="2145" w:type="dxa"/>
            <w:vMerge w:val="continue"/>
            <w:tcBorders>
              <w:bottom w:val="single" w:color="auto" w:sz="4" w:space="0"/>
            </w:tcBorders>
            <w:vAlign w:val="center"/>
          </w:tcPr>
          <w:p w14:paraId="7B81D682">
            <w:pPr>
              <w:widowControl w:val="0"/>
              <w:snapToGrid w:val="0"/>
              <w:spacing w:line="240" w:lineRule="auto"/>
              <w:ind w:firstLine="0" w:firstLineChars="0"/>
              <w:jc w:val="center"/>
              <w:rPr>
                <w:rFonts w:eastAsia="仿宋" w:cs="Times New Roman"/>
                <w:b/>
                <w:sz w:val="24"/>
                <w:szCs w:val="28"/>
              </w:rPr>
            </w:pPr>
          </w:p>
        </w:tc>
        <w:tc>
          <w:tcPr>
            <w:tcW w:w="1074" w:type="dxa"/>
            <w:tcBorders>
              <w:bottom w:val="single" w:color="auto" w:sz="4" w:space="0"/>
            </w:tcBorders>
            <w:vAlign w:val="center"/>
          </w:tcPr>
          <w:p w14:paraId="3F0F3C47">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807" w:type="dxa"/>
            <w:tcBorders>
              <w:bottom w:val="single" w:color="auto" w:sz="4" w:space="0"/>
            </w:tcBorders>
            <w:vAlign w:val="center"/>
          </w:tcPr>
          <w:p w14:paraId="46883DCB">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发现的问题</w:t>
            </w:r>
          </w:p>
        </w:tc>
        <w:tc>
          <w:tcPr>
            <w:tcW w:w="671" w:type="dxa"/>
            <w:tcBorders>
              <w:bottom w:val="single" w:color="auto" w:sz="4" w:space="0"/>
            </w:tcBorders>
            <w:vAlign w:val="center"/>
          </w:tcPr>
          <w:p w14:paraId="73B771F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整改计划</w:t>
            </w:r>
          </w:p>
        </w:tc>
      </w:tr>
      <w:tr w14:paraId="14834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restart"/>
            <w:tcBorders>
              <w:top w:val="single" w:color="auto" w:sz="4" w:space="0"/>
              <w:left w:val="single" w:color="auto" w:sz="4" w:space="0"/>
              <w:bottom w:val="single" w:color="auto" w:sz="4" w:space="0"/>
              <w:right w:val="single" w:color="auto" w:sz="4" w:space="0"/>
            </w:tcBorders>
            <w:vAlign w:val="center"/>
          </w:tcPr>
          <w:p w14:paraId="6FC9BBC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系统建设规划</w:t>
            </w:r>
          </w:p>
        </w:tc>
        <w:tc>
          <w:tcPr>
            <w:tcW w:w="807" w:type="dxa"/>
            <w:tcBorders>
              <w:top w:val="single" w:color="auto" w:sz="4" w:space="0"/>
              <w:left w:val="single" w:color="auto" w:sz="4" w:space="0"/>
              <w:bottom w:val="single" w:color="auto" w:sz="4" w:space="0"/>
              <w:right w:val="single" w:color="auto" w:sz="4" w:space="0"/>
            </w:tcBorders>
            <w:vAlign w:val="center"/>
          </w:tcPr>
          <w:p w14:paraId="29368D87">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w:t>
            </w:r>
          </w:p>
        </w:tc>
        <w:tc>
          <w:tcPr>
            <w:tcW w:w="2399" w:type="dxa"/>
            <w:tcBorders>
              <w:top w:val="single" w:color="auto" w:sz="4" w:space="0"/>
              <w:left w:val="single" w:color="auto" w:sz="4" w:space="0"/>
              <w:bottom w:val="single" w:color="auto" w:sz="4" w:space="0"/>
              <w:right w:val="single" w:color="auto" w:sz="4" w:space="0"/>
            </w:tcBorders>
            <w:vAlign w:val="center"/>
          </w:tcPr>
          <w:p w14:paraId="2CE036C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系统建设方案（明确系统建设原则、目标、接口、各功能模块的关系）</w:t>
            </w:r>
          </w:p>
        </w:tc>
        <w:tc>
          <w:tcPr>
            <w:tcW w:w="1074" w:type="dxa"/>
            <w:tcBorders>
              <w:top w:val="single" w:color="auto" w:sz="4" w:space="0"/>
              <w:left w:val="single" w:color="auto" w:sz="4" w:space="0"/>
              <w:bottom w:val="single" w:color="auto" w:sz="4" w:space="0"/>
              <w:right w:val="single" w:color="auto" w:sz="4" w:space="0"/>
            </w:tcBorders>
            <w:vAlign w:val="center"/>
          </w:tcPr>
          <w:p w14:paraId="30A3509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45" w:type="dxa"/>
            <w:tcBorders>
              <w:top w:val="single" w:color="auto" w:sz="4" w:space="0"/>
              <w:left w:val="single" w:color="auto" w:sz="4" w:space="0"/>
              <w:bottom w:val="single" w:color="auto" w:sz="4" w:space="0"/>
              <w:right w:val="single" w:color="auto" w:sz="4" w:space="0"/>
            </w:tcBorders>
            <w:vAlign w:val="center"/>
          </w:tcPr>
          <w:p w14:paraId="0458270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44DCD29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686B48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58C9880C">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467513BE">
            <w:pPr>
              <w:widowControl w:val="0"/>
              <w:snapToGrid w:val="0"/>
              <w:spacing w:line="240" w:lineRule="auto"/>
              <w:ind w:firstLine="0" w:firstLineChars="0"/>
              <w:rPr>
                <w:rFonts w:eastAsia="仿宋" w:cs="Times New Roman"/>
                <w:sz w:val="24"/>
                <w:szCs w:val="28"/>
              </w:rPr>
            </w:pPr>
          </w:p>
        </w:tc>
      </w:tr>
      <w:tr w14:paraId="17127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left w:val="single" w:color="auto" w:sz="4" w:space="0"/>
              <w:bottom w:val="single" w:color="auto" w:sz="4" w:space="0"/>
              <w:right w:val="single" w:color="auto" w:sz="4" w:space="0"/>
            </w:tcBorders>
            <w:vAlign w:val="center"/>
          </w:tcPr>
          <w:p w14:paraId="0A9FF5D4">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35A6899A">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w:t>
            </w:r>
          </w:p>
        </w:tc>
        <w:tc>
          <w:tcPr>
            <w:tcW w:w="2399" w:type="dxa"/>
            <w:tcBorders>
              <w:top w:val="single" w:color="auto" w:sz="4" w:space="0"/>
              <w:left w:val="single" w:color="auto" w:sz="4" w:space="0"/>
              <w:bottom w:val="single" w:color="auto" w:sz="4" w:space="0"/>
              <w:right w:val="single" w:color="auto" w:sz="4" w:space="0"/>
            </w:tcBorders>
            <w:vAlign w:val="center"/>
          </w:tcPr>
          <w:p w14:paraId="50F9ACA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系统建设计划</w:t>
            </w:r>
          </w:p>
        </w:tc>
        <w:tc>
          <w:tcPr>
            <w:tcW w:w="1074" w:type="dxa"/>
            <w:tcBorders>
              <w:top w:val="single" w:color="auto" w:sz="4" w:space="0"/>
              <w:left w:val="single" w:color="auto" w:sz="4" w:space="0"/>
              <w:bottom w:val="single" w:color="auto" w:sz="4" w:space="0"/>
              <w:right w:val="single" w:color="auto" w:sz="4" w:space="0"/>
            </w:tcBorders>
            <w:vAlign w:val="center"/>
          </w:tcPr>
          <w:p w14:paraId="1560E5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45" w:type="dxa"/>
            <w:tcBorders>
              <w:top w:val="single" w:color="auto" w:sz="4" w:space="0"/>
              <w:left w:val="single" w:color="auto" w:sz="4" w:space="0"/>
              <w:bottom w:val="single" w:color="auto" w:sz="4" w:space="0"/>
              <w:right w:val="single" w:color="auto" w:sz="4" w:space="0"/>
            </w:tcBorders>
            <w:vAlign w:val="center"/>
          </w:tcPr>
          <w:p w14:paraId="414966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37F410E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939278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10AEA6C3">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17404136">
            <w:pPr>
              <w:widowControl w:val="0"/>
              <w:snapToGrid w:val="0"/>
              <w:spacing w:line="240" w:lineRule="auto"/>
              <w:ind w:firstLine="0" w:firstLineChars="0"/>
              <w:rPr>
                <w:rFonts w:eastAsia="仿宋" w:cs="Times New Roman"/>
                <w:sz w:val="24"/>
                <w:szCs w:val="28"/>
              </w:rPr>
            </w:pPr>
          </w:p>
        </w:tc>
      </w:tr>
      <w:tr w14:paraId="4E646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left w:val="single" w:color="auto" w:sz="4" w:space="0"/>
              <w:bottom w:val="single" w:color="auto" w:sz="4" w:space="0"/>
              <w:right w:val="single" w:color="auto" w:sz="4" w:space="0"/>
            </w:tcBorders>
            <w:vAlign w:val="center"/>
          </w:tcPr>
          <w:p w14:paraId="3B0D316A">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042D79D7">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p>
        </w:tc>
        <w:tc>
          <w:tcPr>
            <w:tcW w:w="2399" w:type="dxa"/>
            <w:tcBorders>
              <w:top w:val="single" w:color="auto" w:sz="4" w:space="0"/>
              <w:left w:val="single" w:color="auto" w:sz="4" w:space="0"/>
              <w:bottom w:val="single" w:color="auto" w:sz="4" w:space="0"/>
              <w:right w:val="single" w:color="auto" w:sz="4" w:space="0"/>
            </w:tcBorders>
            <w:vAlign w:val="center"/>
          </w:tcPr>
          <w:p w14:paraId="5FA7E7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系统建设交付物（包括需求文档、技术方案、测试案例、用户手册等）</w:t>
            </w:r>
          </w:p>
        </w:tc>
        <w:tc>
          <w:tcPr>
            <w:tcW w:w="1074" w:type="dxa"/>
            <w:tcBorders>
              <w:top w:val="single" w:color="auto" w:sz="4" w:space="0"/>
              <w:left w:val="single" w:color="auto" w:sz="4" w:space="0"/>
              <w:bottom w:val="single" w:color="auto" w:sz="4" w:space="0"/>
              <w:right w:val="single" w:color="auto" w:sz="4" w:space="0"/>
            </w:tcBorders>
            <w:vAlign w:val="center"/>
          </w:tcPr>
          <w:p w14:paraId="4773796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2145" w:type="dxa"/>
            <w:tcBorders>
              <w:top w:val="single" w:color="auto" w:sz="4" w:space="0"/>
              <w:left w:val="single" w:color="auto" w:sz="4" w:space="0"/>
              <w:bottom w:val="single" w:color="auto" w:sz="4" w:space="0"/>
              <w:right w:val="single" w:color="auto" w:sz="4" w:space="0"/>
            </w:tcBorders>
            <w:vAlign w:val="center"/>
          </w:tcPr>
          <w:p w14:paraId="340498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2F5619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52F5EC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555361F7">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7AE2159F">
            <w:pPr>
              <w:widowControl w:val="0"/>
              <w:snapToGrid w:val="0"/>
              <w:spacing w:line="240" w:lineRule="auto"/>
              <w:ind w:firstLine="0" w:firstLineChars="0"/>
              <w:rPr>
                <w:rFonts w:eastAsia="仿宋" w:cs="Times New Roman"/>
                <w:sz w:val="24"/>
                <w:szCs w:val="28"/>
              </w:rPr>
            </w:pPr>
          </w:p>
        </w:tc>
      </w:tr>
      <w:tr w14:paraId="2C6D6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restart"/>
            <w:tcBorders>
              <w:top w:val="single" w:color="auto" w:sz="4" w:space="0"/>
              <w:left w:val="single" w:color="auto" w:sz="4" w:space="0"/>
              <w:bottom w:val="single" w:color="auto" w:sz="4" w:space="0"/>
              <w:right w:val="single" w:color="auto" w:sz="4" w:space="0"/>
            </w:tcBorders>
            <w:vAlign w:val="center"/>
          </w:tcPr>
          <w:p w14:paraId="7DBFE6B8">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系统上线部署</w:t>
            </w:r>
          </w:p>
        </w:tc>
        <w:tc>
          <w:tcPr>
            <w:tcW w:w="807" w:type="dxa"/>
            <w:tcBorders>
              <w:top w:val="single" w:color="auto" w:sz="4" w:space="0"/>
              <w:left w:val="single" w:color="auto" w:sz="4" w:space="0"/>
              <w:bottom w:val="single" w:color="auto" w:sz="4" w:space="0"/>
              <w:right w:val="single" w:color="auto" w:sz="4" w:space="0"/>
            </w:tcBorders>
            <w:vAlign w:val="center"/>
          </w:tcPr>
          <w:p w14:paraId="4603231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p>
        </w:tc>
        <w:tc>
          <w:tcPr>
            <w:tcW w:w="2399" w:type="dxa"/>
            <w:tcBorders>
              <w:top w:val="single" w:color="auto" w:sz="4" w:space="0"/>
              <w:left w:val="single" w:color="auto" w:sz="4" w:space="0"/>
              <w:bottom w:val="single" w:color="auto" w:sz="4" w:space="0"/>
              <w:right w:val="single" w:color="auto" w:sz="4" w:space="0"/>
            </w:tcBorders>
            <w:vAlign w:val="center"/>
          </w:tcPr>
          <w:p w14:paraId="016537B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测试是否完整（包括系统功能测试、性能测试、上交所相关系统接入测试及相关结论）</w:t>
            </w:r>
          </w:p>
        </w:tc>
        <w:tc>
          <w:tcPr>
            <w:tcW w:w="1074" w:type="dxa"/>
            <w:tcBorders>
              <w:top w:val="single" w:color="auto" w:sz="4" w:space="0"/>
              <w:left w:val="single" w:color="auto" w:sz="4" w:space="0"/>
              <w:bottom w:val="single" w:color="auto" w:sz="4" w:space="0"/>
              <w:right w:val="single" w:color="auto" w:sz="4" w:space="0"/>
            </w:tcBorders>
            <w:vAlign w:val="center"/>
          </w:tcPr>
          <w:p w14:paraId="2316461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检查测试报告</w:t>
            </w:r>
          </w:p>
        </w:tc>
        <w:tc>
          <w:tcPr>
            <w:tcW w:w="2145" w:type="dxa"/>
            <w:tcBorders>
              <w:top w:val="single" w:color="auto" w:sz="4" w:space="0"/>
              <w:left w:val="single" w:color="auto" w:sz="4" w:space="0"/>
              <w:bottom w:val="single" w:color="auto" w:sz="4" w:space="0"/>
              <w:right w:val="single" w:color="auto" w:sz="4" w:space="0"/>
            </w:tcBorders>
            <w:vAlign w:val="center"/>
          </w:tcPr>
          <w:p w14:paraId="288B8A1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《上海证券交易所会员交易及相关系统管理实施细则》《上海证券交易所会员交易及相关系统接入与应用指引》</w:t>
            </w:r>
          </w:p>
        </w:tc>
        <w:tc>
          <w:tcPr>
            <w:tcW w:w="1074" w:type="dxa"/>
            <w:tcBorders>
              <w:top w:val="single" w:color="auto" w:sz="4" w:space="0"/>
              <w:left w:val="single" w:color="auto" w:sz="4" w:space="0"/>
              <w:bottom w:val="single" w:color="auto" w:sz="4" w:space="0"/>
              <w:right w:val="single" w:color="auto" w:sz="4" w:space="0"/>
            </w:tcBorders>
            <w:vAlign w:val="center"/>
          </w:tcPr>
          <w:p w14:paraId="0C3D805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E72567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736C4A9D">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1C776BC0">
            <w:pPr>
              <w:widowControl w:val="0"/>
              <w:snapToGrid w:val="0"/>
              <w:spacing w:line="240" w:lineRule="auto"/>
              <w:ind w:firstLine="0" w:firstLineChars="0"/>
              <w:rPr>
                <w:rFonts w:eastAsia="仿宋" w:cs="Times New Roman"/>
                <w:sz w:val="24"/>
                <w:szCs w:val="28"/>
              </w:rPr>
            </w:pPr>
          </w:p>
        </w:tc>
      </w:tr>
      <w:tr w14:paraId="70E1A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left w:val="single" w:color="auto" w:sz="4" w:space="0"/>
              <w:bottom w:val="single" w:color="auto" w:sz="4" w:space="0"/>
              <w:right w:val="single" w:color="auto" w:sz="4" w:space="0"/>
            </w:tcBorders>
            <w:vAlign w:val="center"/>
          </w:tcPr>
          <w:p w14:paraId="7C0661E9">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1BE70F6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5</w:t>
            </w:r>
          </w:p>
        </w:tc>
        <w:tc>
          <w:tcPr>
            <w:tcW w:w="2399" w:type="dxa"/>
            <w:tcBorders>
              <w:top w:val="single" w:color="auto" w:sz="4" w:space="0"/>
              <w:left w:val="single" w:color="auto" w:sz="4" w:space="0"/>
              <w:bottom w:val="single" w:color="auto" w:sz="4" w:space="0"/>
              <w:right w:val="single" w:color="auto" w:sz="4" w:space="0"/>
            </w:tcBorders>
            <w:vAlign w:val="center"/>
          </w:tcPr>
          <w:p w14:paraId="0A476BB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配置管理是否规范（包括上线审批流程、过程文档、软件清单、网络拓扑等）</w:t>
            </w:r>
          </w:p>
        </w:tc>
        <w:tc>
          <w:tcPr>
            <w:tcW w:w="1074" w:type="dxa"/>
            <w:tcBorders>
              <w:top w:val="single" w:color="auto" w:sz="4" w:space="0"/>
              <w:left w:val="single" w:color="auto" w:sz="4" w:space="0"/>
              <w:bottom w:val="single" w:color="auto" w:sz="4" w:space="0"/>
              <w:right w:val="single" w:color="auto" w:sz="4" w:space="0"/>
            </w:tcBorders>
            <w:vAlign w:val="center"/>
          </w:tcPr>
          <w:p w14:paraId="70FD12C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检查配置清单、审批流程等文档、访谈</w:t>
            </w:r>
          </w:p>
        </w:tc>
        <w:tc>
          <w:tcPr>
            <w:tcW w:w="2145" w:type="dxa"/>
            <w:tcBorders>
              <w:top w:val="single" w:color="auto" w:sz="4" w:space="0"/>
              <w:left w:val="single" w:color="auto" w:sz="4" w:space="0"/>
              <w:bottom w:val="single" w:color="auto" w:sz="4" w:space="0"/>
              <w:right w:val="single" w:color="auto" w:sz="4" w:space="0"/>
            </w:tcBorders>
            <w:vAlign w:val="center"/>
          </w:tcPr>
          <w:p w14:paraId="37C5D2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3B2E33D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687B8A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4FC336E1">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0F1D44B6">
            <w:pPr>
              <w:widowControl w:val="0"/>
              <w:snapToGrid w:val="0"/>
              <w:spacing w:line="240" w:lineRule="auto"/>
              <w:ind w:firstLine="0" w:firstLineChars="0"/>
              <w:rPr>
                <w:rFonts w:eastAsia="仿宋" w:cs="Times New Roman"/>
                <w:sz w:val="24"/>
                <w:szCs w:val="28"/>
              </w:rPr>
            </w:pPr>
          </w:p>
        </w:tc>
      </w:tr>
      <w:tr w14:paraId="77986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left w:val="single" w:color="auto" w:sz="4" w:space="0"/>
              <w:bottom w:val="single" w:color="auto" w:sz="4" w:space="0"/>
              <w:right w:val="single" w:color="auto" w:sz="4" w:space="0"/>
            </w:tcBorders>
            <w:vAlign w:val="center"/>
          </w:tcPr>
          <w:p w14:paraId="1CDBD13F">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left w:val="single" w:color="auto" w:sz="4" w:space="0"/>
              <w:bottom w:val="single" w:color="auto" w:sz="4" w:space="0"/>
              <w:right w:val="single" w:color="auto" w:sz="4" w:space="0"/>
            </w:tcBorders>
            <w:vAlign w:val="center"/>
          </w:tcPr>
          <w:p w14:paraId="37F722B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6</w:t>
            </w:r>
          </w:p>
        </w:tc>
        <w:tc>
          <w:tcPr>
            <w:tcW w:w="2399" w:type="dxa"/>
            <w:tcBorders>
              <w:top w:val="single" w:color="auto" w:sz="4" w:space="0"/>
              <w:left w:val="single" w:color="auto" w:sz="4" w:space="0"/>
              <w:bottom w:val="single" w:color="auto" w:sz="4" w:space="0"/>
              <w:right w:val="single" w:color="auto" w:sz="4" w:space="0"/>
            </w:tcBorders>
            <w:vAlign w:val="center"/>
          </w:tcPr>
          <w:p w14:paraId="1EFCD0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系统隔离是否规范（是否满足期权系统与现货系统的隔离等）</w:t>
            </w:r>
          </w:p>
        </w:tc>
        <w:tc>
          <w:tcPr>
            <w:tcW w:w="1074" w:type="dxa"/>
            <w:tcBorders>
              <w:top w:val="single" w:color="auto" w:sz="4" w:space="0"/>
              <w:left w:val="single" w:color="auto" w:sz="4" w:space="0"/>
              <w:bottom w:val="single" w:color="auto" w:sz="4" w:space="0"/>
              <w:right w:val="single" w:color="auto" w:sz="4" w:space="0"/>
            </w:tcBorders>
            <w:vAlign w:val="center"/>
          </w:tcPr>
          <w:p w14:paraId="63D5CE8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查阅配置清单、访谈</w:t>
            </w:r>
          </w:p>
        </w:tc>
        <w:tc>
          <w:tcPr>
            <w:tcW w:w="2145" w:type="dxa"/>
            <w:tcBorders>
              <w:top w:val="single" w:color="auto" w:sz="4" w:space="0"/>
              <w:left w:val="single" w:color="auto" w:sz="4" w:space="0"/>
              <w:bottom w:val="single" w:color="auto" w:sz="4" w:space="0"/>
              <w:right w:val="single" w:color="auto" w:sz="4" w:space="0"/>
            </w:tcBorders>
            <w:vAlign w:val="center"/>
          </w:tcPr>
          <w:p w14:paraId="1C60E97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《上交所期权全真模拟交易业务方案》《上海证券交易所会员交易及相关系统管理实施细则》</w:t>
            </w:r>
          </w:p>
        </w:tc>
        <w:tc>
          <w:tcPr>
            <w:tcW w:w="1074" w:type="dxa"/>
            <w:tcBorders>
              <w:top w:val="single" w:color="auto" w:sz="4" w:space="0"/>
              <w:left w:val="single" w:color="auto" w:sz="4" w:space="0"/>
              <w:bottom w:val="single" w:color="auto" w:sz="4" w:space="0"/>
              <w:right w:val="single" w:color="auto" w:sz="4" w:space="0"/>
            </w:tcBorders>
            <w:vAlign w:val="center"/>
          </w:tcPr>
          <w:p w14:paraId="4CE914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4B9F66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left w:val="single" w:color="auto" w:sz="4" w:space="0"/>
              <w:bottom w:val="single" w:color="auto" w:sz="4" w:space="0"/>
              <w:right w:val="single" w:color="auto" w:sz="4" w:space="0"/>
            </w:tcBorders>
            <w:vAlign w:val="center"/>
          </w:tcPr>
          <w:p w14:paraId="0D2E6E2A">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left w:val="single" w:color="auto" w:sz="4" w:space="0"/>
              <w:bottom w:val="single" w:color="auto" w:sz="4" w:space="0"/>
              <w:right w:val="single" w:color="auto" w:sz="4" w:space="0"/>
            </w:tcBorders>
            <w:vAlign w:val="center"/>
          </w:tcPr>
          <w:p w14:paraId="49450332">
            <w:pPr>
              <w:widowControl w:val="0"/>
              <w:snapToGrid w:val="0"/>
              <w:spacing w:line="240" w:lineRule="auto"/>
              <w:ind w:firstLine="0" w:firstLineChars="0"/>
              <w:rPr>
                <w:rFonts w:eastAsia="仿宋" w:cs="Times New Roman"/>
                <w:sz w:val="24"/>
                <w:szCs w:val="28"/>
              </w:rPr>
            </w:pPr>
          </w:p>
        </w:tc>
      </w:tr>
      <w:tr w14:paraId="2BCFA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tcBorders>
              <w:top w:val="single" w:color="auto" w:sz="4" w:space="0"/>
            </w:tcBorders>
            <w:vAlign w:val="center"/>
          </w:tcPr>
          <w:p w14:paraId="2D015562">
            <w:pPr>
              <w:widowControl w:val="0"/>
              <w:snapToGrid w:val="0"/>
              <w:spacing w:line="240" w:lineRule="auto"/>
              <w:ind w:firstLine="0" w:firstLineChars="0"/>
              <w:jc w:val="center"/>
              <w:rPr>
                <w:rFonts w:eastAsia="仿宋" w:cs="Times New Roman"/>
                <w:b/>
                <w:sz w:val="24"/>
                <w:szCs w:val="28"/>
              </w:rPr>
            </w:pPr>
          </w:p>
        </w:tc>
        <w:tc>
          <w:tcPr>
            <w:tcW w:w="807" w:type="dxa"/>
            <w:tcBorders>
              <w:top w:val="single" w:color="auto" w:sz="4" w:space="0"/>
            </w:tcBorders>
            <w:vAlign w:val="center"/>
          </w:tcPr>
          <w:p w14:paraId="27355A8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7</w:t>
            </w:r>
          </w:p>
        </w:tc>
        <w:tc>
          <w:tcPr>
            <w:tcW w:w="2399" w:type="dxa"/>
            <w:tcBorders>
              <w:top w:val="single" w:color="auto" w:sz="4" w:space="0"/>
            </w:tcBorders>
            <w:vAlign w:val="center"/>
          </w:tcPr>
          <w:p w14:paraId="44DFDE2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权限管理是否规范（包括权限分配制度、权限分配清单，操作复核、前后台、操作与风控稽查等岗位分离情况）</w:t>
            </w:r>
          </w:p>
        </w:tc>
        <w:tc>
          <w:tcPr>
            <w:tcW w:w="1074" w:type="dxa"/>
            <w:tcBorders>
              <w:top w:val="single" w:color="auto" w:sz="4" w:space="0"/>
            </w:tcBorders>
            <w:vAlign w:val="center"/>
          </w:tcPr>
          <w:p w14:paraId="5B59DBC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查阅系统权限分配表与应用权限分配表、人员职责清单、访谈</w:t>
            </w:r>
          </w:p>
        </w:tc>
        <w:tc>
          <w:tcPr>
            <w:tcW w:w="2145" w:type="dxa"/>
            <w:tcBorders>
              <w:top w:val="single" w:color="auto" w:sz="4" w:space="0"/>
            </w:tcBorders>
            <w:vAlign w:val="center"/>
          </w:tcPr>
          <w:p w14:paraId="21512C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《证券期货业信息系统安全等级保护基本要求》、《证券期货行业信息系统运维管理规范》</w:t>
            </w:r>
          </w:p>
        </w:tc>
        <w:tc>
          <w:tcPr>
            <w:tcW w:w="1074" w:type="dxa"/>
            <w:tcBorders>
              <w:top w:val="single" w:color="auto" w:sz="4" w:space="0"/>
            </w:tcBorders>
            <w:vAlign w:val="center"/>
          </w:tcPr>
          <w:p w14:paraId="423151B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919137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tcBorders>
              <w:top w:val="single" w:color="auto" w:sz="4" w:space="0"/>
            </w:tcBorders>
            <w:vAlign w:val="center"/>
          </w:tcPr>
          <w:p w14:paraId="520C1C89">
            <w:pPr>
              <w:widowControl w:val="0"/>
              <w:snapToGrid w:val="0"/>
              <w:spacing w:line="240" w:lineRule="auto"/>
              <w:ind w:firstLine="0" w:firstLineChars="0"/>
              <w:rPr>
                <w:rFonts w:eastAsia="仿宋" w:cs="Times New Roman"/>
                <w:sz w:val="24"/>
                <w:szCs w:val="28"/>
              </w:rPr>
            </w:pPr>
          </w:p>
        </w:tc>
        <w:tc>
          <w:tcPr>
            <w:tcW w:w="671" w:type="dxa"/>
            <w:tcBorders>
              <w:top w:val="single" w:color="auto" w:sz="4" w:space="0"/>
            </w:tcBorders>
            <w:vAlign w:val="center"/>
          </w:tcPr>
          <w:p w14:paraId="35AF940E">
            <w:pPr>
              <w:widowControl w:val="0"/>
              <w:snapToGrid w:val="0"/>
              <w:spacing w:line="240" w:lineRule="auto"/>
              <w:ind w:firstLine="0" w:firstLineChars="0"/>
              <w:rPr>
                <w:rFonts w:eastAsia="仿宋" w:cs="Times New Roman"/>
                <w:sz w:val="24"/>
                <w:szCs w:val="28"/>
              </w:rPr>
            </w:pPr>
          </w:p>
        </w:tc>
      </w:tr>
      <w:tr w14:paraId="0FB05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57427AF4">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2C73D116">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8</w:t>
            </w:r>
          </w:p>
        </w:tc>
        <w:tc>
          <w:tcPr>
            <w:tcW w:w="2399" w:type="dxa"/>
            <w:vAlign w:val="center"/>
          </w:tcPr>
          <w:p w14:paraId="722908C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是否网络、主机、应用、安全等关键环节具备足够冗余，满足业务高峰期需要</w:t>
            </w:r>
          </w:p>
        </w:tc>
        <w:tc>
          <w:tcPr>
            <w:tcW w:w="1074" w:type="dxa"/>
            <w:vAlign w:val="center"/>
          </w:tcPr>
          <w:p w14:paraId="2B43186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抽查部署方案、配置清单和网络拓扑图，抽查实际部署的重要环节</w:t>
            </w:r>
          </w:p>
        </w:tc>
        <w:tc>
          <w:tcPr>
            <w:tcW w:w="2145" w:type="dxa"/>
            <w:vAlign w:val="center"/>
          </w:tcPr>
          <w:p w14:paraId="480B29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《证券公司集中交易安全管理技术指引》《上海证券交易所会员交易及相关系统管理实施细则》</w:t>
            </w:r>
          </w:p>
        </w:tc>
        <w:tc>
          <w:tcPr>
            <w:tcW w:w="1074" w:type="dxa"/>
            <w:vAlign w:val="center"/>
          </w:tcPr>
          <w:p w14:paraId="6F4E069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F5FA62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3375CACF">
            <w:pPr>
              <w:widowControl w:val="0"/>
              <w:snapToGrid w:val="0"/>
              <w:spacing w:line="240" w:lineRule="auto"/>
              <w:ind w:firstLine="0" w:firstLineChars="0"/>
              <w:rPr>
                <w:rFonts w:eastAsia="仿宋" w:cs="Times New Roman"/>
                <w:sz w:val="24"/>
                <w:szCs w:val="28"/>
              </w:rPr>
            </w:pPr>
          </w:p>
        </w:tc>
        <w:tc>
          <w:tcPr>
            <w:tcW w:w="671" w:type="dxa"/>
            <w:vAlign w:val="center"/>
          </w:tcPr>
          <w:p w14:paraId="48F23A38">
            <w:pPr>
              <w:widowControl w:val="0"/>
              <w:snapToGrid w:val="0"/>
              <w:spacing w:line="240" w:lineRule="auto"/>
              <w:ind w:firstLine="0" w:firstLineChars="0"/>
              <w:rPr>
                <w:rFonts w:eastAsia="仿宋" w:cs="Times New Roman"/>
                <w:sz w:val="24"/>
                <w:szCs w:val="28"/>
              </w:rPr>
            </w:pPr>
          </w:p>
        </w:tc>
      </w:tr>
      <w:tr w14:paraId="3623F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7B7C5BAC">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6CD5CE57">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9</w:t>
            </w:r>
          </w:p>
        </w:tc>
        <w:tc>
          <w:tcPr>
            <w:tcW w:w="2399" w:type="dxa"/>
            <w:vAlign w:val="center"/>
          </w:tcPr>
          <w:p w14:paraId="6159DF5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系统上线前是否对运维人员进行了培训，培训内容涵盖期权业务知识、系统架构与功能、运维安全保障、应急备份措施等</w:t>
            </w:r>
          </w:p>
        </w:tc>
        <w:tc>
          <w:tcPr>
            <w:tcW w:w="1074" w:type="dxa"/>
            <w:vAlign w:val="center"/>
          </w:tcPr>
          <w:p w14:paraId="4FDA9AB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检查培训计划、培训记录、培训材料等</w:t>
            </w:r>
          </w:p>
        </w:tc>
        <w:tc>
          <w:tcPr>
            <w:tcW w:w="2145" w:type="dxa"/>
            <w:vAlign w:val="center"/>
          </w:tcPr>
          <w:p w14:paraId="106E7DE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《证券公司信息技术管理规范》、《证券期货业信息系统安全等级保护基本要求》、《证券期货业信息系统运维管理规范》</w:t>
            </w:r>
          </w:p>
        </w:tc>
        <w:tc>
          <w:tcPr>
            <w:tcW w:w="1074" w:type="dxa"/>
            <w:vAlign w:val="center"/>
          </w:tcPr>
          <w:p w14:paraId="79E1DB5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8A793A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7FD971B8">
            <w:pPr>
              <w:widowControl w:val="0"/>
              <w:snapToGrid w:val="0"/>
              <w:spacing w:line="240" w:lineRule="auto"/>
              <w:ind w:firstLine="0" w:firstLineChars="0"/>
              <w:rPr>
                <w:rFonts w:eastAsia="仿宋" w:cs="Times New Roman"/>
                <w:sz w:val="24"/>
                <w:szCs w:val="28"/>
              </w:rPr>
            </w:pPr>
          </w:p>
        </w:tc>
        <w:tc>
          <w:tcPr>
            <w:tcW w:w="671" w:type="dxa"/>
            <w:vAlign w:val="center"/>
          </w:tcPr>
          <w:p w14:paraId="53EC952E">
            <w:pPr>
              <w:widowControl w:val="0"/>
              <w:snapToGrid w:val="0"/>
              <w:spacing w:line="240" w:lineRule="auto"/>
              <w:ind w:firstLine="0" w:firstLineChars="0"/>
              <w:rPr>
                <w:rFonts w:eastAsia="仿宋" w:cs="Times New Roman"/>
                <w:sz w:val="24"/>
                <w:szCs w:val="28"/>
              </w:rPr>
            </w:pPr>
          </w:p>
        </w:tc>
      </w:tr>
      <w:tr w14:paraId="2BCD7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restart"/>
            <w:vAlign w:val="center"/>
          </w:tcPr>
          <w:p w14:paraId="1BDED7E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系统运维管理</w:t>
            </w:r>
          </w:p>
        </w:tc>
        <w:tc>
          <w:tcPr>
            <w:tcW w:w="807" w:type="dxa"/>
            <w:vAlign w:val="center"/>
          </w:tcPr>
          <w:p w14:paraId="4F0D2237">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10</w:t>
            </w:r>
          </w:p>
        </w:tc>
        <w:tc>
          <w:tcPr>
            <w:tcW w:w="2399" w:type="dxa"/>
            <w:vAlign w:val="center"/>
          </w:tcPr>
          <w:p w14:paraId="45E670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应急预案是否完备（包括事件分级、处置步骤、汇报机制、人员联系方式）</w:t>
            </w:r>
          </w:p>
        </w:tc>
        <w:tc>
          <w:tcPr>
            <w:tcW w:w="1074" w:type="dxa"/>
            <w:vAlign w:val="center"/>
          </w:tcPr>
          <w:p w14:paraId="3472B9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检查应急预案</w:t>
            </w:r>
          </w:p>
        </w:tc>
        <w:tc>
          <w:tcPr>
            <w:tcW w:w="2145" w:type="dxa"/>
            <w:vAlign w:val="center"/>
          </w:tcPr>
          <w:p w14:paraId="304018D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w:t>
            </w:r>
          </w:p>
        </w:tc>
        <w:tc>
          <w:tcPr>
            <w:tcW w:w="1074" w:type="dxa"/>
            <w:vAlign w:val="center"/>
          </w:tcPr>
          <w:p w14:paraId="260590D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E92BD2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1E6E9533">
            <w:pPr>
              <w:widowControl w:val="0"/>
              <w:snapToGrid w:val="0"/>
              <w:spacing w:line="240" w:lineRule="auto"/>
              <w:ind w:firstLine="0" w:firstLineChars="0"/>
              <w:rPr>
                <w:rFonts w:eastAsia="仿宋" w:cs="Times New Roman"/>
                <w:sz w:val="24"/>
                <w:szCs w:val="28"/>
              </w:rPr>
            </w:pPr>
          </w:p>
        </w:tc>
        <w:tc>
          <w:tcPr>
            <w:tcW w:w="671" w:type="dxa"/>
            <w:vAlign w:val="center"/>
          </w:tcPr>
          <w:p w14:paraId="135E82D2">
            <w:pPr>
              <w:widowControl w:val="0"/>
              <w:snapToGrid w:val="0"/>
              <w:spacing w:line="240" w:lineRule="auto"/>
              <w:ind w:firstLine="0" w:firstLineChars="0"/>
              <w:rPr>
                <w:rFonts w:eastAsia="仿宋" w:cs="Times New Roman"/>
                <w:sz w:val="24"/>
                <w:szCs w:val="28"/>
              </w:rPr>
            </w:pPr>
          </w:p>
        </w:tc>
      </w:tr>
      <w:tr w14:paraId="6F168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051E7B57">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7D6E6B2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11</w:t>
            </w:r>
          </w:p>
        </w:tc>
        <w:tc>
          <w:tcPr>
            <w:tcW w:w="2399" w:type="dxa"/>
            <w:vAlign w:val="center"/>
          </w:tcPr>
          <w:p w14:paraId="1012B4D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运维管理是否规范（包括运维制度、运维操作、过程管理等）</w:t>
            </w:r>
          </w:p>
        </w:tc>
        <w:tc>
          <w:tcPr>
            <w:tcW w:w="1074" w:type="dxa"/>
            <w:vAlign w:val="center"/>
          </w:tcPr>
          <w:p w14:paraId="38B0F3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检查相关制度、流程审批材料及操作记录、访谈</w:t>
            </w:r>
          </w:p>
        </w:tc>
        <w:tc>
          <w:tcPr>
            <w:tcW w:w="2145" w:type="dxa"/>
            <w:vAlign w:val="center"/>
          </w:tcPr>
          <w:p w14:paraId="7786BD5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《上海证券交易所会员交易及相关系统管理实施细则》《证券公司信息技术管理规范》</w:t>
            </w:r>
          </w:p>
        </w:tc>
        <w:tc>
          <w:tcPr>
            <w:tcW w:w="1074" w:type="dxa"/>
            <w:vAlign w:val="center"/>
          </w:tcPr>
          <w:p w14:paraId="0719BA3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108EE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4EA1330D">
            <w:pPr>
              <w:widowControl w:val="0"/>
              <w:snapToGrid w:val="0"/>
              <w:spacing w:line="240" w:lineRule="auto"/>
              <w:ind w:firstLine="0" w:firstLineChars="0"/>
              <w:rPr>
                <w:rFonts w:eastAsia="仿宋" w:cs="Times New Roman"/>
                <w:sz w:val="24"/>
                <w:szCs w:val="28"/>
              </w:rPr>
            </w:pPr>
          </w:p>
        </w:tc>
        <w:tc>
          <w:tcPr>
            <w:tcW w:w="671" w:type="dxa"/>
            <w:vAlign w:val="center"/>
          </w:tcPr>
          <w:p w14:paraId="19305AC2">
            <w:pPr>
              <w:widowControl w:val="0"/>
              <w:snapToGrid w:val="0"/>
              <w:spacing w:line="240" w:lineRule="auto"/>
              <w:ind w:firstLine="0" w:firstLineChars="0"/>
              <w:rPr>
                <w:rFonts w:eastAsia="仿宋" w:cs="Times New Roman"/>
                <w:sz w:val="24"/>
                <w:szCs w:val="28"/>
              </w:rPr>
            </w:pPr>
          </w:p>
        </w:tc>
      </w:tr>
      <w:tr w14:paraId="414CC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4F06FAA7">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59CABA4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12</w:t>
            </w:r>
          </w:p>
        </w:tc>
        <w:tc>
          <w:tcPr>
            <w:tcW w:w="2399" w:type="dxa"/>
            <w:vAlign w:val="center"/>
          </w:tcPr>
          <w:p w14:paraId="5159E97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是否为期权业务配备足够运维人员，运维人员主备岗职责是否清晰</w:t>
            </w:r>
          </w:p>
        </w:tc>
        <w:tc>
          <w:tcPr>
            <w:tcW w:w="1074" w:type="dxa"/>
            <w:vAlign w:val="center"/>
          </w:tcPr>
          <w:p w14:paraId="015DB3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检查人员职责清单、访谈</w:t>
            </w:r>
          </w:p>
        </w:tc>
        <w:tc>
          <w:tcPr>
            <w:tcW w:w="2145" w:type="dxa"/>
            <w:vAlign w:val="center"/>
          </w:tcPr>
          <w:p w14:paraId="02BEDD3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《上海证券交易所会员交易及相关系统管理实施细则》《证券公司信息技术管理规范》</w:t>
            </w:r>
          </w:p>
        </w:tc>
        <w:tc>
          <w:tcPr>
            <w:tcW w:w="1074" w:type="dxa"/>
            <w:vAlign w:val="center"/>
          </w:tcPr>
          <w:p w14:paraId="6F39D73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901E92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79594C42">
            <w:pPr>
              <w:widowControl w:val="0"/>
              <w:snapToGrid w:val="0"/>
              <w:spacing w:line="240" w:lineRule="auto"/>
              <w:ind w:firstLine="0" w:firstLineChars="0"/>
              <w:rPr>
                <w:rFonts w:eastAsia="仿宋" w:cs="Times New Roman"/>
                <w:sz w:val="24"/>
                <w:szCs w:val="28"/>
              </w:rPr>
            </w:pPr>
          </w:p>
        </w:tc>
        <w:tc>
          <w:tcPr>
            <w:tcW w:w="671" w:type="dxa"/>
            <w:vAlign w:val="center"/>
          </w:tcPr>
          <w:p w14:paraId="71CF85CC">
            <w:pPr>
              <w:widowControl w:val="0"/>
              <w:snapToGrid w:val="0"/>
              <w:spacing w:line="240" w:lineRule="auto"/>
              <w:ind w:firstLine="0" w:firstLineChars="0"/>
              <w:rPr>
                <w:rFonts w:eastAsia="仿宋" w:cs="Times New Roman"/>
                <w:sz w:val="24"/>
                <w:szCs w:val="28"/>
              </w:rPr>
            </w:pPr>
          </w:p>
        </w:tc>
      </w:tr>
      <w:tr w14:paraId="7C20F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3A5AEC9C">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4D33DF5C">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13</w:t>
            </w:r>
          </w:p>
        </w:tc>
        <w:tc>
          <w:tcPr>
            <w:tcW w:w="2399" w:type="dxa"/>
            <w:vAlign w:val="center"/>
          </w:tcPr>
          <w:p w14:paraId="5A0C993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是否已建立备份与恢复管理相关的管理制度，对备份信息的备份方式、备份频度、存储介质和保存期等进行规范</w:t>
            </w:r>
          </w:p>
        </w:tc>
        <w:tc>
          <w:tcPr>
            <w:tcW w:w="1074" w:type="dxa"/>
            <w:vAlign w:val="center"/>
          </w:tcPr>
          <w:p w14:paraId="305F008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检查是否具备备份与恢复管理制度或方案，抽查备份情况</w:t>
            </w:r>
          </w:p>
        </w:tc>
        <w:tc>
          <w:tcPr>
            <w:tcW w:w="2145" w:type="dxa"/>
            <w:vAlign w:val="center"/>
          </w:tcPr>
          <w:p w14:paraId="47A3958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《上海证券交易所会员交易及相关系统管理实施细则》《上海证券交易所会员交易及相关系统接入与应用指引》《证券期货业信息系统安全等级保护基本要求》</w:t>
            </w:r>
          </w:p>
        </w:tc>
        <w:tc>
          <w:tcPr>
            <w:tcW w:w="1074" w:type="dxa"/>
            <w:vAlign w:val="center"/>
          </w:tcPr>
          <w:p w14:paraId="69AB4FA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C1A9E3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54339B4F">
            <w:pPr>
              <w:widowControl w:val="0"/>
              <w:snapToGrid w:val="0"/>
              <w:spacing w:line="240" w:lineRule="auto"/>
              <w:ind w:firstLine="0" w:firstLineChars="0"/>
              <w:rPr>
                <w:rFonts w:eastAsia="仿宋" w:cs="Times New Roman"/>
                <w:sz w:val="24"/>
                <w:szCs w:val="28"/>
              </w:rPr>
            </w:pPr>
          </w:p>
        </w:tc>
        <w:tc>
          <w:tcPr>
            <w:tcW w:w="671" w:type="dxa"/>
            <w:vAlign w:val="center"/>
          </w:tcPr>
          <w:p w14:paraId="5ADA19E9">
            <w:pPr>
              <w:widowControl w:val="0"/>
              <w:snapToGrid w:val="0"/>
              <w:spacing w:line="240" w:lineRule="auto"/>
              <w:ind w:firstLine="0" w:firstLineChars="0"/>
              <w:rPr>
                <w:rFonts w:eastAsia="仿宋" w:cs="Times New Roman"/>
                <w:sz w:val="24"/>
                <w:szCs w:val="28"/>
              </w:rPr>
            </w:pPr>
          </w:p>
        </w:tc>
      </w:tr>
      <w:tr w14:paraId="21F41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1087" w:type="dxa"/>
            <w:vMerge w:val="continue"/>
            <w:vAlign w:val="center"/>
          </w:tcPr>
          <w:p w14:paraId="176EABBE">
            <w:pPr>
              <w:widowControl w:val="0"/>
              <w:snapToGrid w:val="0"/>
              <w:spacing w:line="240" w:lineRule="auto"/>
              <w:ind w:firstLine="0" w:firstLineChars="0"/>
              <w:jc w:val="center"/>
              <w:rPr>
                <w:rFonts w:eastAsia="仿宋" w:cs="Times New Roman"/>
                <w:b/>
                <w:sz w:val="24"/>
                <w:szCs w:val="28"/>
              </w:rPr>
            </w:pPr>
          </w:p>
        </w:tc>
        <w:tc>
          <w:tcPr>
            <w:tcW w:w="807" w:type="dxa"/>
            <w:vAlign w:val="center"/>
          </w:tcPr>
          <w:p w14:paraId="0BBF50B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14</w:t>
            </w:r>
          </w:p>
        </w:tc>
        <w:tc>
          <w:tcPr>
            <w:tcW w:w="2399" w:type="dxa"/>
            <w:vAlign w:val="center"/>
          </w:tcPr>
          <w:p w14:paraId="4589761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建立完善的运行监控系统，对现货和期权系统的运行环境、运行状况进行实时监控，并提供多种报警功能</w:t>
            </w:r>
          </w:p>
        </w:tc>
        <w:tc>
          <w:tcPr>
            <w:tcW w:w="1074" w:type="dxa"/>
            <w:vAlign w:val="center"/>
          </w:tcPr>
          <w:p w14:paraId="458548B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检查是否有监控系统，访谈运维负责人，进行相关演示</w:t>
            </w:r>
          </w:p>
        </w:tc>
        <w:tc>
          <w:tcPr>
            <w:tcW w:w="2145" w:type="dxa"/>
            <w:vAlign w:val="center"/>
          </w:tcPr>
          <w:p w14:paraId="2543A34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《证券公司集中交易安全管理技术指引》《上海证券交易所会员交易及相关系统管理实施细则》</w:t>
            </w:r>
          </w:p>
        </w:tc>
        <w:tc>
          <w:tcPr>
            <w:tcW w:w="1074" w:type="dxa"/>
            <w:vAlign w:val="center"/>
          </w:tcPr>
          <w:p w14:paraId="2EDC560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5DD25F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807" w:type="dxa"/>
            <w:vAlign w:val="center"/>
          </w:tcPr>
          <w:p w14:paraId="2005F28F">
            <w:pPr>
              <w:widowControl w:val="0"/>
              <w:snapToGrid w:val="0"/>
              <w:spacing w:line="240" w:lineRule="auto"/>
              <w:ind w:firstLine="0" w:firstLineChars="0"/>
              <w:rPr>
                <w:rFonts w:eastAsia="仿宋" w:cs="Times New Roman"/>
                <w:sz w:val="24"/>
                <w:szCs w:val="28"/>
              </w:rPr>
            </w:pPr>
          </w:p>
        </w:tc>
        <w:tc>
          <w:tcPr>
            <w:tcW w:w="671" w:type="dxa"/>
            <w:vAlign w:val="center"/>
          </w:tcPr>
          <w:p w14:paraId="1F372787">
            <w:pPr>
              <w:widowControl w:val="0"/>
              <w:snapToGrid w:val="0"/>
              <w:spacing w:line="240" w:lineRule="auto"/>
              <w:ind w:firstLine="0" w:firstLineChars="0"/>
              <w:rPr>
                <w:rFonts w:eastAsia="仿宋" w:cs="Times New Roman"/>
                <w:sz w:val="24"/>
                <w:szCs w:val="28"/>
              </w:rPr>
            </w:pPr>
          </w:p>
        </w:tc>
      </w:tr>
    </w:tbl>
    <w:p w14:paraId="2BF41B75">
      <w:pPr>
        <w:spacing w:line="400" w:lineRule="exact"/>
        <w:ind w:firstLine="0" w:firstLineChars="0"/>
        <w:jc w:val="left"/>
        <w:rPr>
          <w:rFonts w:cs="Times New Roman"/>
          <w:sz w:val="28"/>
          <w:szCs w:val="21"/>
        </w:rPr>
      </w:pPr>
    </w:p>
    <w:p w14:paraId="76D3C1F1">
      <w:pPr>
        <w:spacing w:line="400" w:lineRule="exact"/>
        <w:ind w:firstLine="0" w:firstLineChars="0"/>
        <w:jc w:val="center"/>
        <w:rPr>
          <w:rFonts w:hint="eastAsia" w:eastAsia="楷体" w:cs="Times New Roman"/>
          <w:sz w:val="28"/>
          <w:szCs w:val="21"/>
        </w:rPr>
      </w:pPr>
      <w:bookmarkStart w:id="578" w:name="_Toc57819618"/>
    </w:p>
    <w:p w14:paraId="65CB881C">
      <w:pPr>
        <w:spacing w:line="400" w:lineRule="exact"/>
        <w:ind w:firstLine="0" w:firstLineChars="0"/>
        <w:jc w:val="center"/>
        <w:rPr>
          <w:rFonts w:hint="eastAsia" w:eastAsia="楷体" w:cs="Times New Roman"/>
          <w:sz w:val="28"/>
          <w:szCs w:val="21"/>
        </w:rPr>
      </w:pPr>
    </w:p>
    <w:p w14:paraId="4584D059">
      <w:pPr>
        <w:spacing w:line="400" w:lineRule="exact"/>
        <w:ind w:firstLine="0" w:firstLineChars="0"/>
        <w:jc w:val="center"/>
        <w:rPr>
          <w:rFonts w:hint="eastAsia" w:eastAsia="楷体" w:cs="Times New Roman"/>
          <w:sz w:val="28"/>
          <w:szCs w:val="21"/>
        </w:rPr>
      </w:pPr>
    </w:p>
    <w:p w14:paraId="6D6E58C2">
      <w:pPr>
        <w:spacing w:line="400" w:lineRule="exact"/>
        <w:ind w:firstLine="0" w:firstLineChars="0"/>
        <w:jc w:val="center"/>
        <w:rPr>
          <w:rFonts w:hint="eastAsia" w:eastAsia="楷体" w:cs="Times New Roman"/>
          <w:sz w:val="28"/>
          <w:szCs w:val="21"/>
        </w:rPr>
      </w:pPr>
    </w:p>
    <w:p w14:paraId="03F6943C">
      <w:pPr>
        <w:spacing w:line="400" w:lineRule="exact"/>
        <w:ind w:firstLine="0" w:firstLineChars="0"/>
        <w:jc w:val="center"/>
        <w:rPr>
          <w:rFonts w:hint="eastAsia" w:eastAsia="楷体" w:cs="Times New Roman"/>
          <w:sz w:val="28"/>
          <w:szCs w:val="21"/>
        </w:rPr>
      </w:pPr>
    </w:p>
    <w:p w14:paraId="1057C4D6">
      <w:pPr>
        <w:spacing w:line="400" w:lineRule="exact"/>
        <w:ind w:firstLine="0" w:firstLineChars="0"/>
        <w:jc w:val="center"/>
        <w:rPr>
          <w:rFonts w:hint="eastAsia" w:eastAsia="楷体" w:cs="Times New Roman"/>
          <w:sz w:val="28"/>
          <w:szCs w:val="21"/>
        </w:rPr>
      </w:pPr>
    </w:p>
    <w:p w14:paraId="1ECFA81E">
      <w:pPr>
        <w:spacing w:line="400" w:lineRule="exact"/>
        <w:ind w:firstLine="0" w:firstLineChars="0"/>
        <w:jc w:val="center"/>
        <w:rPr>
          <w:rFonts w:hint="eastAsia" w:eastAsia="楷体" w:cs="Times New Roman"/>
          <w:sz w:val="28"/>
          <w:szCs w:val="21"/>
        </w:rPr>
      </w:pPr>
    </w:p>
    <w:p w14:paraId="11D8DD82">
      <w:pPr>
        <w:spacing w:line="400" w:lineRule="exact"/>
        <w:ind w:firstLine="0" w:firstLineChars="0"/>
        <w:jc w:val="center"/>
        <w:rPr>
          <w:rFonts w:hint="eastAsia" w:eastAsia="楷体" w:cs="Times New Roman"/>
          <w:sz w:val="28"/>
          <w:szCs w:val="21"/>
        </w:rPr>
      </w:pPr>
    </w:p>
    <w:p w14:paraId="57033B3B">
      <w:pPr>
        <w:spacing w:line="400" w:lineRule="exact"/>
        <w:ind w:firstLine="0" w:firstLineChars="0"/>
        <w:jc w:val="center"/>
        <w:rPr>
          <w:rFonts w:hint="eastAsia" w:eastAsia="楷体" w:cs="Times New Roman"/>
          <w:sz w:val="28"/>
          <w:szCs w:val="21"/>
        </w:rPr>
      </w:pPr>
    </w:p>
    <w:p w14:paraId="504EECF0">
      <w:pPr>
        <w:spacing w:line="400" w:lineRule="exact"/>
        <w:ind w:firstLine="0" w:firstLineChars="0"/>
        <w:jc w:val="center"/>
        <w:rPr>
          <w:rFonts w:hint="eastAsia" w:eastAsia="楷体" w:cs="Times New Roman"/>
          <w:sz w:val="28"/>
          <w:szCs w:val="21"/>
        </w:rPr>
      </w:pPr>
    </w:p>
    <w:p w14:paraId="3A93650E">
      <w:pPr>
        <w:spacing w:line="400" w:lineRule="exact"/>
        <w:ind w:firstLine="0" w:firstLineChars="0"/>
        <w:jc w:val="center"/>
        <w:rPr>
          <w:rFonts w:hint="eastAsia" w:eastAsia="楷体" w:cs="Times New Roman"/>
          <w:sz w:val="28"/>
          <w:szCs w:val="21"/>
        </w:rPr>
      </w:pPr>
    </w:p>
    <w:p w14:paraId="2668B998">
      <w:pPr>
        <w:spacing w:line="400" w:lineRule="exact"/>
        <w:ind w:firstLine="0" w:firstLineChars="0"/>
        <w:jc w:val="center"/>
        <w:rPr>
          <w:rFonts w:hint="eastAsia" w:eastAsia="楷体" w:cs="Times New Roman"/>
          <w:sz w:val="28"/>
          <w:szCs w:val="21"/>
        </w:rPr>
      </w:pPr>
    </w:p>
    <w:p w14:paraId="24A0344B">
      <w:pPr>
        <w:spacing w:line="400" w:lineRule="exact"/>
        <w:ind w:firstLine="0" w:firstLineChars="0"/>
        <w:jc w:val="center"/>
        <w:rPr>
          <w:rFonts w:hint="eastAsia" w:eastAsia="楷体" w:cs="Times New Roman"/>
          <w:sz w:val="28"/>
          <w:szCs w:val="21"/>
        </w:rPr>
      </w:pPr>
    </w:p>
    <w:p w14:paraId="70ACE012">
      <w:pPr>
        <w:spacing w:line="400" w:lineRule="exact"/>
        <w:ind w:firstLine="0" w:firstLineChars="0"/>
        <w:jc w:val="center"/>
        <w:rPr>
          <w:rFonts w:hint="eastAsia" w:eastAsia="楷体" w:cs="Times New Roman"/>
          <w:sz w:val="28"/>
          <w:szCs w:val="21"/>
        </w:rPr>
      </w:pPr>
    </w:p>
    <w:p w14:paraId="652ED427">
      <w:pPr>
        <w:spacing w:line="400" w:lineRule="exact"/>
        <w:ind w:firstLine="0" w:firstLineChars="0"/>
        <w:jc w:val="center"/>
        <w:rPr>
          <w:rFonts w:hint="eastAsia" w:eastAsia="楷体" w:cs="Times New Roman"/>
          <w:sz w:val="28"/>
          <w:szCs w:val="21"/>
        </w:rPr>
      </w:pPr>
    </w:p>
    <w:p w14:paraId="1107F438">
      <w:pPr>
        <w:spacing w:line="400" w:lineRule="exact"/>
        <w:ind w:firstLine="0" w:firstLineChars="0"/>
        <w:jc w:val="center"/>
        <w:rPr>
          <w:rFonts w:hint="eastAsia" w:eastAsia="楷体" w:cs="Times New Roman"/>
          <w:sz w:val="28"/>
          <w:szCs w:val="21"/>
        </w:rPr>
      </w:pPr>
    </w:p>
    <w:p w14:paraId="2FC16DCE">
      <w:pPr>
        <w:spacing w:line="400" w:lineRule="exact"/>
        <w:ind w:firstLine="0" w:firstLineChars="0"/>
        <w:jc w:val="center"/>
        <w:rPr>
          <w:rFonts w:hint="eastAsia" w:eastAsia="楷体" w:cs="Times New Roman"/>
          <w:sz w:val="28"/>
          <w:szCs w:val="21"/>
        </w:rPr>
      </w:pPr>
    </w:p>
    <w:p w14:paraId="0D45C37A">
      <w:pPr>
        <w:spacing w:line="400" w:lineRule="exact"/>
        <w:ind w:firstLine="0" w:firstLineChars="0"/>
        <w:jc w:val="center"/>
        <w:rPr>
          <w:rFonts w:hint="eastAsia" w:eastAsia="楷体" w:cs="Times New Roman"/>
          <w:sz w:val="28"/>
          <w:szCs w:val="21"/>
        </w:rPr>
      </w:pPr>
    </w:p>
    <w:p w14:paraId="78F79B62">
      <w:pPr>
        <w:spacing w:line="400" w:lineRule="exact"/>
        <w:ind w:firstLine="0" w:firstLineChars="0"/>
        <w:jc w:val="center"/>
        <w:rPr>
          <w:rFonts w:hint="eastAsia" w:eastAsia="楷体" w:cs="Times New Roman"/>
          <w:sz w:val="28"/>
          <w:szCs w:val="21"/>
        </w:rPr>
      </w:pPr>
    </w:p>
    <w:p w14:paraId="5F201F5F">
      <w:pPr>
        <w:spacing w:line="240" w:lineRule="auto"/>
        <w:ind w:firstLine="0" w:firstLineChars="0"/>
        <w:jc w:val="left"/>
        <w:rPr>
          <w:rFonts w:hint="eastAsia" w:eastAsia="楷体" w:cs="Times New Roman"/>
          <w:sz w:val="28"/>
          <w:szCs w:val="21"/>
        </w:rPr>
      </w:pPr>
      <w:r>
        <w:rPr>
          <w:rFonts w:hint="eastAsia" w:eastAsia="楷体" w:cs="Times New Roman"/>
          <w:sz w:val="28"/>
          <w:szCs w:val="21"/>
        </w:rPr>
        <w:br w:type="page"/>
      </w:r>
    </w:p>
    <w:p w14:paraId="0C9E270E">
      <w:pPr>
        <w:pStyle w:val="2"/>
        <w:rPr>
          <w:rFonts w:hint="eastAsia"/>
        </w:rPr>
      </w:pPr>
    </w:p>
    <w:p w14:paraId="5398F90F">
      <w:pPr>
        <w:spacing w:line="400" w:lineRule="exact"/>
        <w:ind w:firstLine="0" w:firstLineChars="0"/>
        <w:jc w:val="center"/>
        <w:rPr>
          <w:rFonts w:hint="eastAsia" w:eastAsia="楷体" w:cs="Times New Roman"/>
          <w:sz w:val="28"/>
          <w:szCs w:val="21"/>
        </w:rPr>
      </w:pPr>
      <w:r>
        <w:rPr>
          <w:rFonts w:hint="eastAsia" w:eastAsia="楷体" w:cs="Times New Roman"/>
          <w:sz w:val="28"/>
          <w:szCs w:val="21"/>
        </w:rPr>
        <w:t>第五部分</w:t>
      </w:r>
      <w:bookmarkEnd w:id="578"/>
    </w:p>
    <w:p w14:paraId="2E9796D5">
      <w:pPr>
        <w:spacing w:line="400" w:lineRule="exact"/>
        <w:ind w:firstLine="0" w:firstLineChars="0"/>
        <w:jc w:val="center"/>
        <w:rPr>
          <w:rFonts w:hint="eastAsia" w:eastAsia="楷体" w:cs="Times New Roman"/>
          <w:sz w:val="28"/>
          <w:szCs w:val="21"/>
        </w:rPr>
      </w:pPr>
      <w:bookmarkStart w:id="579" w:name="_Toc57819619"/>
      <w:r>
        <w:rPr>
          <w:rFonts w:hint="eastAsia" w:eastAsia="楷体" w:cs="Times New Roman"/>
          <w:sz w:val="28"/>
          <w:szCs w:val="21"/>
        </w:rPr>
        <w:t>期货公司期权经纪业务投资者</w:t>
      </w:r>
      <w:r>
        <w:rPr>
          <w:rFonts w:eastAsia="楷体" w:cs="Times New Roman"/>
          <w:sz w:val="28"/>
          <w:szCs w:val="21"/>
        </w:rPr>
        <w:t>教育</w:t>
      </w:r>
      <w:r>
        <w:rPr>
          <w:rFonts w:hint="eastAsia" w:eastAsia="楷体" w:cs="Times New Roman"/>
          <w:sz w:val="28"/>
          <w:szCs w:val="21"/>
        </w:rPr>
        <w:t>就绪工作检查</w:t>
      </w:r>
      <w:bookmarkEnd w:id="579"/>
    </w:p>
    <w:p w14:paraId="536D945B">
      <w:pPr>
        <w:pStyle w:val="2"/>
      </w:pPr>
    </w:p>
    <w:tbl>
      <w:tblPr>
        <w:tblStyle w:val="31"/>
        <w:tblW w:w="10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5" w:type="dxa"/>
          <w:bottom w:w="0" w:type="dxa"/>
          <w:right w:w="15" w:type="dxa"/>
        </w:tblCellMar>
      </w:tblPr>
      <w:tblGrid>
        <w:gridCol w:w="1103"/>
        <w:gridCol w:w="531"/>
        <w:gridCol w:w="3128"/>
        <w:gridCol w:w="1361"/>
        <w:gridCol w:w="1496"/>
        <w:gridCol w:w="815"/>
        <w:gridCol w:w="817"/>
        <w:gridCol w:w="813"/>
      </w:tblGrid>
      <w:tr w14:paraId="5D42B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548" w:type="pct"/>
            <w:vMerge w:val="restart"/>
            <w:vAlign w:val="center"/>
          </w:tcPr>
          <w:p w14:paraId="08822FD1">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检查项目</w:t>
            </w:r>
          </w:p>
        </w:tc>
        <w:tc>
          <w:tcPr>
            <w:tcW w:w="264" w:type="pct"/>
            <w:vMerge w:val="restart"/>
            <w:vAlign w:val="center"/>
          </w:tcPr>
          <w:p w14:paraId="05710E84">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编号</w:t>
            </w:r>
          </w:p>
        </w:tc>
        <w:tc>
          <w:tcPr>
            <w:tcW w:w="1554" w:type="pct"/>
            <w:vMerge w:val="restart"/>
            <w:vAlign w:val="center"/>
          </w:tcPr>
          <w:p w14:paraId="5D468A2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检查内容</w:t>
            </w:r>
          </w:p>
        </w:tc>
        <w:tc>
          <w:tcPr>
            <w:tcW w:w="676" w:type="pct"/>
            <w:vMerge w:val="restart"/>
            <w:vAlign w:val="center"/>
          </w:tcPr>
          <w:p w14:paraId="762F272D">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检查方法</w:t>
            </w:r>
          </w:p>
        </w:tc>
        <w:tc>
          <w:tcPr>
            <w:tcW w:w="743" w:type="pct"/>
            <w:vMerge w:val="restart"/>
            <w:vAlign w:val="center"/>
          </w:tcPr>
          <w:p w14:paraId="09FED2D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检查依据</w:t>
            </w:r>
          </w:p>
        </w:tc>
        <w:tc>
          <w:tcPr>
            <w:tcW w:w="1215" w:type="pct"/>
            <w:gridSpan w:val="3"/>
            <w:vAlign w:val="center"/>
          </w:tcPr>
          <w:p w14:paraId="0FEB9F15">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r>
      <w:tr w14:paraId="15DA3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548" w:type="pct"/>
            <w:vMerge w:val="continue"/>
            <w:tcBorders>
              <w:bottom w:val="single" w:color="auto" w:sz="4" w:space="0"/>
            </w:tcBorders>
            <w:vAlign w:val="center"/>
          </w:tcPr>
          <w:p w14:paraId="628205EA">
            <w:pPr>
              <w:widowControl w:val="0"/>
              <w:snapToGrid w:val="0"/>
              <w:spacing w:line="240" w:lineRule="auto"/>
              <w:ind w:firstLine="0" w:firstLineChars="0"/>
              <w:jc w:val="center"/>
              <w:rPr>
                <w:rFonts w:eastAsia="仿宋" w:cs="Times New Roman"/>
                <w:b/>
                <w:sz w:val="24"/>
                <w:szCs w:val="28"/>
              </w:rPr>
            </w:pPr>
          </w:p>
        </w:tc>
        <w:tc>
          <w:tcPr>
            <w:tcW w:w="264" w:type="pct"/>
            <w:vMerge w:val="continue"/>
            <w:tcBorders>
              <w:bottom w:val="single" w:color="auto" w:sz="4" w:space="0"/>
            </w:tcBorders>
            <w:vAlign w:val="center"/>
          </w:tcPr>
          <w:p w14:paraId="3129CD02">
            <w:pPr>
              <w:widowControl w:val="0"/>
              <w:snapToGrid w:val="0"/>
              <w:spacing w:line="240" w:lineRule="auto"/>
              <w:ind w:firstLine="0" w:firstLineChars="0"/>
              <w:jc w:val="center"/>
              <w:rPr>
                <w:rFonts w:eastAsia="仿宋" w:cs="Times New Roman"/>
                <w:b/>
                <w:sz w:val="24"/>
                <w:szCs w:val="28"/>
              </w:rPr>
            </w:pPr>
          </w:p>
        </w:tc>
        <w:tc>
          <w:tcPr>
            <w:tcW w:w="1554" w:type="pct"/>
            <w:vMerge w:val="continue"/>
            <w:tcBorders>
              <w:bottom w:val="single" w:color="auto" w:sz="4" w:space="0"/>
            </w:tcBorders>
            <w:vAlign w:val="center"/>
          </w:tcPr>
          <w:p w14:paraId="2BAA87E4">
            <w:pPr>
              <w:widowControl w:val="0"/>
              <w:snapToGrid w:val="0"/>
              <w:spacing w:line="240" w:lineRule="auto"/>
              <w:ind w:firstLine="0" w:firstLineChars="0"/>
              <w:jc w:val="center"/>
              <w:rPr>
                <w:rFonts w:eastAsia="仿宋" w:cs="Times New Roman"/>
                <w:b/>
                <w:sz w:val="24"/>
                <w:szCs w:val="28"/>
              </w:rPr>
            </w:pPr>
          </w:p>
        </w:tc>
        <w:tc>
          <w:tcPr>
            <w:tcW w:w="676" w:type="pct"/>
            <w:vMerge w:val="continue"/>
            <w:tcBorders>
              <w:bottom w:val="single" w:color="auto" w:sz="4" w:space="0"/>
            </w:tcBorders>
            <w:vAlign w:val="center"/>
          </w:tcPr>
          <w:p w14:paraId="482BF837">
            <w:pPr>
              <w:widowControl w:val="0"/>
              <w:snapToGrid w:val="0"/>
              <w:spacing w:line="240" w:lineRule="auto"/>
              <w:ind w:firstLine="0" w:firstLineChars="0"/>
              <w:jc w:val="center"/>
              <w:rPr>
                <w:rFonts w:eastAsia="仿宋" w:cs="Times New Roman"/>
                <w:b/>
                <w:sz w:val="24"/>
                <w:szCs w:val="28"/>
              </w:rPr>
            </w:pPr>
          </w:p>
        </w:tc>
        <w:tc>
          <w:tcPr>
            <w:tcW w:w="743" w:type="pct"/>
            <w:vMerge w:val="continue"/>
            <w:tcBorders>
              <w:bottom w:val="single" w:color="auto" w:sz="4" w:space="0"/>
            </w:tcBorders>
            <w:vAlign w:val="center"/>
          </w:tcPr>
          <w:p w14:paraId="59DE2D45">
            <w:pPr>
              <w:widowControl w:val="0"/>
              <w:snapToGrid w:val="0"/>
              <w:spacing w:line="240" w:lineRule="auto"/>
              <w:ind w:firstLine="0" w:firstLineChars="0"/>
              <w:jc w:val="center"/>
              <w:rPr>
                <w:rFonts w:eastAsia="仿宋" w:cs="Times New Roman"/>
                <w:b/>
                <w:sz w:val="24"/>
                <w:szCs w:val="28"/>
              </w:rPr>
            </w:pPr>
          </w:p>
        </w:tc>
        <w:tc>
          <w:tcPr>
            <w:tcW w:w="405" w:type="pct"/>
            <w:tcBorders>
              <w:bottom w:val="single" w:color="auto" w:sz="4" w:space="0"/>
            </w:tcBorders>
            <w:vAlign w:val="center"/>
          </w:tcPr>
          <w:p w14:paraId="3B7BA15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检查情况</w:t>
            </w:r>
          </w:p>
        </w:tc>
        <w:tc>
          <w:tcPr>
            <w:tcW w:w="406" w:type="pct"/>
            <w:tcBorders>
              <w:bottom w:val="single" w:color="auto" w:sz="4" w:space="0"/>
            </w:tcBorders>
            <w:vAlign w:val="center"/>
          </w:tcPr>
          <w:p w14:paraId="10EA127A">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是否通过</w:t>
            </w:r>
          </w:p>
        </w:tc>
        <w:tc>
          <w:tcPr>
            <w:tcW w:w="404" w:type="pct"/>
            <w:tcBorders>
              <w:bottom w:val="single" w:color="auto" w:sz="4" w:space="0"/>
            </w:tcBorders>
            <w:vAlign w:val="center"/>
          </w:tcPr>
          <w:p w14:paraId="7ED393CE">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备注</w:t>
            </w:r>
          </w:p>
        </w:tc>
      </w:tr>
      <w:tr w14:paraId="57F2E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70538FAC">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投资者适当性管理制度、流程</w:t>
            </w:r>
          </w:p>
        </w:tc>
        <w:tc>
          <w:tcPr>
            <w:tcW w:w="264" w:type="pct"/>
            <w:tcBorders>
              <w:top w:val="single" w:color="auto" w:sz="4" w:space="0"/>
              <w:left w:val="single" w:color="auto" w:sz="4" w:space="0"/>
              <w:bottom w:val="single" w:color="auto" w:sz="4" w:space="0"/>
              <w:right w:val="single" w:color="auto" w:sz="4" w:space="0"/>
            </w:tcBorders>
            <w:vAlign w:val="center"/>
          </w:tcPr>
          <w:p w14:paraId="50BBAE5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w:t>
            </w:r>
          </w:p>
        </w:tc>
        <w:tc>
          <w:tcPr>
            <w:tcW w:w="1554" w:type="pct"/>
            <w:tcBorders>
              <w:top w:val="single" w:color="auto" w:sz="4" w:space="0"/>
              <w:left w:val="single" w:color="auto" w:sz="4" w:space="0"/>
              <w:bottom w:val="single" w:color="auto" w:sz="4" w:space="0"/>
              <w:right w:val="single" w:color="auto" w:sz="4" w:space="0"/>
            </w:tcBorders>
            <w:vAlign w:val="center"/>
          </w:tcPr>
          <w:p w14:paraId="4B1D5A2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应建立股票期权投资者适当性管理相关制度，包括投资者准入条件、综合评估及相关流程、投资者分级及持续管理相关内容。</w:t>
            </w:r>
          </w:p>
        </w:tc>
        <w:tc>
          <w:tcPr>
            <w:tcW w:w="676" w:type="pct"/>
            <w:tcBorders>
              <w:top w:val="single" w:color="auto" w:sz="4" w:space="0"/>
              <w:left w:val="single" w:color="auto" w:sz="4" w:space="0"/>
              <w:bottom w:val="single" w:color="auto" w:sz="4" w:space="0"/>
              <w:right w:val="single" w:color="auto" w:sz="4" w:space="0"/>
            </w:tcBorders>
            <w:vAlign w:val="center"/>
          </w:tcPr>
          <w:p w14:paraId="4017D29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743" w:type="pct"/>
            <w:tcBorders>
              <w:top w:val="single" w:color="auto" w:sz="4" w:space="0"/>
              <w:left w:val="single" w:color="auto" w:sz="4" w:space="0"/>
              <w:bottom w:val="single" w:color="auto" w:sz="4" w:space="0"/>
              <w:right w:val="single" w:color="auto" w:sz="4" w:space="0"/>
            </w:tcBorders>
            <w:vAlign w:val="center"/>
          </w:tcPr>
          <w:p w14:paraId="6CF60D6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left w:val="single" w:color="auto" w:sz="4" w:space="0"/>
              <w:bottom w:val="single" w:color="auto" w:sz="4" w:space="0"/>
              <w:right w:val="single" w:color="auto" w:sz="4" w:space="0"/>
            </w:tcBorders>
            <w:vAlign w:val="center"/>
          </w:tcPr>
          <w:p w14:paraId="366DAEA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8D2A61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left w:val="single" w:color="auto" w:sz="4" w:space="0"/>
              <w:bottom w:val="single" w:color="auto" w:sz="4" w:space="0"/>
              <w:right w:val="single" w:color="auto" w:sz="4" w:space="0"/>
            </w:tcBorders>
            <w:vAlign w:val="center"/>
          </w:tcPr>
          <w:p w14:paraId="3439D31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964B9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left w:val="single" w:color="auto" w:sz="4" w:space="0"/>
              <w:bottom w:val="single" w:color="auto" w:sz="4" w:space="0"/>
              <w:right w:val="single" w:color="auto" w:sz="4" w:space="0"/>
            </w:tcBorders>
            <w:vAlign w:val="center"/>
          </w:tcPr>
          <w:p w14:paraId="182B80A4">
            <w:pPr>
              <w:widowControl w:val="0"/>
              <w:snapToGrid w:val="0"/>
              <w:spacing w:line="240" w:lineRule="auto"/>
              <w:ind w:firstLine="0" w:firstLineChars="0"/>
              <w:rPr>
                <w:rFonts w:eastAsia="仿宋" w:cs="Times New Roman"/>
                <w:sz w:val="24"/>
                <w:szCs w:val="28"/>
              </w:rPr>
            </w:pPr>
          </w:p>
        </w:tc>
      </w:tr>
      <w:tr w14:paraId="55FCB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restart"/>
            <w:tcBorders>
              <w:top w:val="single" w:color="auto" w:sz="4" w:space="0"/>
              <w:left w:val="single" w:color="auto" w:sz="4" w:space="0"/>
              <w:right w:val="single" w:color="auto" w:sz="4" w:space="0"/>
            </w:tcBorders>
            <w:vAlign w:val="center"/>
          </w:tcPr>
          <w:p w14:paraId="1C1B0419">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组织做好投资者期权知识测试工作</w:t>
            </w:r>
          </w:p>
        </w:tc>
        <w:tc>
          <w:tcPr>
            <w:tcW w:w="264" w:type="pct"/>
            <w:tcBorders>
              <w:top w:val="single" w:color="auto" w:sz="4" w:space="0"/>
              <w:left w:val="single" w:color="auto" w:sz="4" w:space="0"/>
              <w:bottom w:val="single" w:color="auto" w:sz="4" w:space="0"/>
              <w:right w:val="single" w:color="auto" w:sz="4" w:space="0"/>
            </w:tcBorders>
            <w:vAlign w:val="center"/>
          </w:tcPr>
          <w:p w14:paraId="537902E1">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2</w:t>
            </w:r>
          </w:p>
        </w:tc>
        <w:tc>
          <w:tcPr>
            <w:tcW w:w="1554" w:type="pct"/>
            <w:tcBorders>
              <w:top w:val="single" w:color="auto" w:sz="4" w:space="0"/>
              <w:left w:val="single" w:color="auto" w:sz="4" w:space="0"/>
              <w:bottom w:val="single" w:color="auto" w:sz="4" w:space="0"/>
              <w:right w:val="single" w:color="auto" w:sz="4" w:space="0"/>
            </w:tcBorders>
            <w:vAlign w:val="center"/>
          </w:tcPr>
          <w:p w14:paraId="64705CB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已在部分营业部设立投资者期权知识测试考场，组织投资者有序参加考试</w:t>
            </w:r>
          </w:p>
        </w:tc>
        <w:tc>
          <w:tcPr>
            <w:tcW w:w="676" w:type="pct"/>
            <w:tcBorders>
              <w:top w:val="single" w:color="auto" w:sz="4" w:space="0"/>
              <w:left w:val="single" w:color="auto" w:sz="4" w:space="0"/>
              <w:bottom w:val="single" w:color="auto" w:sz="4" w:space="0"/>
              <w:right w:val="single" w:color="auto" w:sz="4" w:space="0"/>
            </w:tcBorders>
            <w:vAlign w:val="center"/>
          </w:tcPr>
          <w:p w14:paraId="45A280D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总部验收纪录</w:t>
            </w:r>
            <w:r>
              <w:rPr>
                <w:rFonts w:eastAsia="仿宋" w:cs="Times New Roman"/>
                <w:sz w:val="24"/>
                <w:szCs w:val="28"/>
              </w:rPr>
              <w:t>/营业部专项检查</w:t>
            </w:r>
          </w:p>
        </w:tc>
        <w:tc>
          <w:tcPr>
            <w:tcW w:w="743" w:type="pct"/>
            <w:tcBorders>
              <w:top w:val="single" w:color="auto" w:sz="4" w:space="0"/>
              <w:left w:val="single" w:color="auto" w:sz="4" w:space="0"/>
              <w:bottom w:val="single" w:color="auto" w:sz="4" w:space="0"/>
              <w:right w:val="single" w:color="auto" w:sz="4" w:space="0"/>
            </w:tcBorders>
            <w:vAlign w:val="center"/>
          </w:tcPr>
          <w:p w14:paraId="0634E10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left w:val="single" w:color="auto" w:sz="4" w:space="0"/>
              <w:bottom w:val="single" w:color="auto" w:sz="4" w:space="0"/>
              <w:right w:val="single" w:color="auto" w:sz="4" w:space="0"/>
            </w:tcBorders>
            <w:vAlign w:val="center"/>
          </w:tcPr>
          <w:p w14:paraId="35AA13E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58CB3606">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left w:val="single" w:color="auto" w:sz="4" w:space="0"/>
              <w:bottom w:val="single" w:color="auto" w:sz="4" w:space="0"/>
              <w:right w:val="single" w:color="auto" w:sz="4" w:space="0"/>
            </w:tcBorders>
            <w:vAlign w:val="center"/>
          </w:tcPr>
          <w:p w14:paraId="06E4769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5A68D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left w:val="single" w:color="auto" w:sz="4" w:space="0"/>
              <w:bottom w:val="single" w:color="auto" w:sz="4" w:space="0"/>
              <w:right w:val="single" w:color="auto" w:sz="4" w:space="0"/>
            </w:tcBorders>
            <w:vAlign w:val="center"/>
          </w:tcPr>
          <w:p w14:paraId="617EBBEF">
            <w:pPr>
              <w:widowControl w:val="0"/>
              <w:snapToGrid w:val="0"/>
              <w:spacing w:line="240" w:lineRule="auto"/>
              <w:ind w:firstLine="0" w:firstLineChars="0"/>
              <w:rPr>
                <w:rFonts w:eastAsia="仿宋" w:cs="Times New Roman"/>
                <w:sz w:val="24"/>
                <w:szCs w:val="28"/>
              </w:rPr>
            </w:pPr>
          </w:p>
        </w:tc>
      </w:tr>
      <w:tr w14:paraId="3F3E6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continue"/>
            <w:tcBorders>
              <w:left w:val="single" w:color="auto" w:sz="4" w:space="0"/>
              <w:right w:val="single" w:color="auto" w:sz="4" w:space="0"/>
            </w:tcBorders>
            <w:vAlign w:val="center"/>
          </w:tcPr>
          <w:p w14:paraId="5BCD04CF">
            <w:pPr>
              <w:widowControl w:val="0"/>
              <w:snapToGrid w:val="0"/>
              <w:spacing w:line="240" w:lineRule="auto"/>
              <w:ind w:firstLine="0" w:firstLineChars="0"/>
              <w:jc w:val="center"/>
              <w:rPr>
                <w:rFonts w:eastAsia="仿宋" w:cs="Times New Roman"/>
                <w:b/>
                <w:sz w:val="24"/>
                <w:szCs w:val="28"/>
              </w:rPr>
            </w:pPr>
          </w:p>
        </w:tc>
        <w:tc>
          <w:tcPr>
            <w:tcW w:w="264" w:type="pct"/>
            <w:tcBorders>
              <w:top w:val="single" w:color="auto" w:sz="4" w:space="0"/>
              <w:left w:val="single" w:color="auto" w:sz="4" w:space="0"/>
              <w:bottom w:val="single" w:color="auto" w:sz="4" w:space="0"/>
              <w:right w:val="single" w:color="auto" w:sz="4" w:space="0"/>
            </w:tcBorders>
            <w:vAlign w:val="center"/>
          </w:tcPr>
          <w:p w14:paraId="633E64F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3</w:t>
            </w:r>
          </w:p>
        </w:tc>
        <w:tc>
          <w:tcPr>
            <w:tcW w:w="1554" w:type="pct"/>
            <w:tcBorders>
              <w:top w:val="single" w:color="auto" w:sz="4" w:space="0"/>
              <w:left w:val="single" w:color="auto" w:sz="4" w:space="0"/>
              <w:bottom w:val="single" w:color="auto" w:sz="4" w:space="0"/>
              <w:right w:val="single" w:color="auto" w:sz="4" w:space="0"/>
            </w:tcBorders>
            <w:vAlign w:val="center"/>
          </w:tcPr>
          <w:p w14:paraId="6BB379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考场应按照“专区、专人、专机”的要求，有相对独立区域和机器作为考试场地，配备专岗人员组织考试。</w:t>
            </w:r>
          </w:p>
        </w:tc>
        <w:tc>
          <w:tcPr>
            <w:tcW w:w="676" w:type="pct"/>
            <w:tcBorders>
              <w:top w:val="single" w:color="auto" w:sz="4" w:space="0"/>
              <w:left w:val="single" w:color="auto" w:sz="4" w:space="0"/>
              <w:bottom w:val="single" w:color="auto" w:sz="4" w:space="0"/>
              <w:right w:val="single" w:color="auto" w:sz="4" w:space="0"/>
            </w:tcBorders>
            <w:vAlign w:val="center"/>
          </w:tcPr>
          <w:p w14:paraId="5F44FD9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总部验收纪录</w:t>
            </w:r>
            <w:r>
              <w:rPr>
                <w:rFonts w:eastAsia="仿宋" w:cs="Times New Roman"/>
                <w:sz w:val="24"/>
                <w:szCs w:val="28"/>
              </w:rPr>
              <w:t>/营业部专项检查</w:t>
            </w:r>
          </w:p>
        </w:tc>
        <w:tc>
          <w:tcPr>
            <w:tcW w:w="743" w:type="pct"/>
            <w:tcBorders>
              <w:top w:val="single" w:color="auto" w:sz="4" w:space="0"/>
              <w:left w:val="single" w:color="auto" w:sz="4" w:space="0"/>
              <w:bottom w:val="single" w:color="auto" w:sz="4" w:space="0"/>
              <w:right w:val="single" w:color="auto" w:sz="4" w:space="0"/>
            </w:tcBorders>
            <w:vAlign w:val="center"/>
          </w:tcPr>
          <w:p w14:paraId="74C18B4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left w:val="single" w:color="auto" w:sz="4" w:space="0"/>
              <w:bottom w:val="single" w:color="auto" w:sz="4" w:space="0"/>
              <w:right w:val="single" w:color="auto" w:sz="4" w:space="0"/>
            </w:tcBorders>
            <w:vAlign w:val="center"/>
          </w:tcPr>
          <w:p w14:paraId="4008310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154EA40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left w:val="single" w:color="auto" w:sz="4" w:space="0"/>
              <w:bottom w:val="single" w:color="auto" w:sz="4" w:space="0"/>
              <w:right w:val="single" w:color="auto" w:sz="4" w:space="0"/>
            </w:tcBorders>
            <w:vAlign w:val="center"/>
          </w:tcPr>
          <w:p w14:paraId="04F868E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8DC57A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left w:val="single" w:color="auto" w:sz="4" w:space="0"/>
              <w:bottom w:val="single" w:color="auto" w:sz="4" w:space="0"/>
              <w:right w:val="single" w:color="auto" w:sz="4" w:space="0"/>
            </w:tcBorders>
            <w:vAlign w:val="center"/>
          </w:tcPr>
          <w:p w14:paraId="481A97CD">
            <w:pPr>
              <w:widowControl w:val="0"/>
              <w:snapToGrid w:val="0"/>
              <w:spacing w:line="240" w:lineRule="auto"/>
              <w:ind w:firstLine="0" w:firstLineChars="0"/>
              <w:rPr>
                <w:rFonts w:eastAsia="仿宋" w:cs="Times New Roman"/>
                <w:sz w:val="24"/>
                <w:szCs w:val="28"/>
              </w:rPr>
            </w:pPr>
          </w:p>
        </w:tc>
      </w:tr>
      <w:tr w14:paraId="0DBF6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continue"/>
            <w:tcBorders>
              <w:left w:val="single" w:color="auto" w:sz="4" w:space="0"/>
              <w:right w:val="single" w:color="auto" w:sz="4" w:space="0"/>
            </w:tcBorders>
            <w:vAlign w:val="center"/>
          </w:tcPr>
          <w:p w14:paraId="57B27638">
            <w:pPr>
              <w:widowControl w:val="0"/>
              <w:snapToGrid w:val="0"/>
              <w:spacing w:line="240" w:lineRule="auto"/>
              <w:ind w:firstLine="0" w:firstLineChars="0"/>
              <w:jc w:val="center"/>
              <w:rPr>
                <w:rFonts w:eastAsia="仿宋" w:cs="Times New Roman"/>
                <w:b/>
                <w:sz w:val="24"/>
                <w:szCs w:val="28"/>
              </w:rPr>
            </w:pPr>
          </w:p>
        </w:tc>
        <w:tc>
          <w:tcPr>
            <w:tcW w:w="264" w:type="pct"/>
            <w:tcBorders>
              <w:top w:val="single" w:color="auto" w:sz="4" w:space="0"/>
              <w:left w:val="single" w:color="auto" w:sz="4" w:space="0"/>
              <w:bottom w:val="single" w:color="auto" w:sz="4" w:space="0"/>
              <w:right w:val="single" w:color="auto" w:sz="4" w:space="0"/>
            </w:tcBorders>
            <w:vAlign w:val="center"/>
          </w:tcPr>
          <w:p w14:paraId="746E1CE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4</w:t>
            </w:r>
          </w:p>
        </w:tc>
        <w:tc>
          <w:tcPr>
            <w:tcW w:w="1554" w:type="pct"/>
            <w:tcBorders>
              <w:top w:val="single" w:color="auto" w:sz="4" w:space="0"/>
              <w:left w:val="single" w:color="auto" w:sz="4" w:space="0"/>
              <w:bottom w:val="single" w:color="auto" w:sz="4" w:space="0"/>
              <w:right w:val="single" w:color="auto" w:sz="4" w:space="0"/>
            </w:tcBorders>
            <w:vAlign w:val="center"/>
          </w:tcPr>
          <w:p w14:paraId="3F58C77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通过考试的投资者的诚信声明应按要求录像或拍照存档</w:t>
            </w:r>
          </w:p>
        </w:tc>
        <w:tc>
          <w:tcPr>
            <w:tcW w:w="676" w:type="pct"/>
            <w:tcBorders>
              <w:top w:val="single" w:color="auto" w:sz="4" w:space="0"/>
              <w:left w:val="single" w:color="auto" w:sz="4" w:space="0"/>
              <w:bottom w:val="single" w:color="auto" w:sz="4" w:space="0"/>
              <w:right w:val="single" w:color="auto" w:sz="4" w:space="0"/>
            </w:tcBorders>
            <w:vAlign w:val="center"/>
          </w:tcPr>
          <w:p w14:paraId="4BE883A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抽查存档文件（模拟开户流程示例视频、照片）</w:t>
            </w:r>
          </w:p>
        </w:tc>
        <w:tc>
          <w:tcPr>
            <w:tcW w:w="743" w:type="pct"/>
            <w:tcBorders>
              <w:top w:val="single" w:color="auto" w:sz="4" w:space="0"/>
              <w:left w:val="single" w:color="auto" w:sz="4" w:space="0"/>
              <w:bottom w:val="single" w:color="auto" w:sz="4" w:space="0"/>
              <w:right w:val="single" w:color="auto" w:sz="4" w:space="0"/>
            </w:tcBorders>
            <w:vAlign w:val="center"/>
          </w:tcPr>
          <w:p w14:paraId="3210A28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left w:val="single" w:color="auto" w:sz="4" w:space="0"/>
              <w:bottom w:val="single" w:color="auto" w:sz="4" w:space="0"/>
              <w:right w:val="single" w:color="auto" w:sz="4" w:space="0"/>
            </w:tcBorders>
            <w:vAlign w:val="center"/>
          </w:tcPr>
          <w:p w14:paraId="4338A3C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EEF2D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left w:val="single" w:color="auto" w:sz="4" w:space="0"/>
              <w:bottom w:val="single" w:color="auto" w:sz="4" w:space="0"/>
              <w:right w:val="single" w:color="auto" w:sz="4" w:space="0"/>
            </w:tcBorders>
            <w:vAlign w:val="center"/>
          </w:tcPr>
          <w:p w14:paraId="68B47A6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EC7BF9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left w:val="single" w:color="auto" w:sz="4" w:space="0"/>
              <w:bottom w:val="single" w:color="auto" w:sz="4" w:space="0"/>
              <w:right w:val="single" w:color="auto" w:sz="4" w:space="0"/>
            </w:tcBorders>
            <w:vAlign w:val="center"/>
          </w:tcPr>
          <w:p w14:paraId="000CFFD6">
            <w:pPr>
              <w:widowControl w:val="0"/>
              <w:snapToGrid w:val="0"/>
              <w:spacing w:line="240" w:lineRule="auto"/>
              <w:ind w:firstLine="0" w:firstLineChars="0"/>
              <w:rPr>
                <w:rFonts w:eastAsia="仿宋" w:cs="Times New Roman"/>
                <w:sz w:val="24"/>
                <w:szCs w:val="28"/>
              </w:rPr>
            </w:pPr>
          </w:p>
        </w:tc>
      </w:tr>
      <w:tr w14:paraId="0FDA5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restart"/>
            <w:tcBorders>
              <w:top w:val="single" w:color="auto" w:sz="4" w:space="0"/>
              <w:left w:val="single" w:color="auto" w:sz="4" w:space="0"/>
              <w:right w:val="single" w:color="auto" w:sz="4" w:space="0"/>
            </w:tcBorders>
            <w:vAlign w:val="center"/>
          </w:tcPr>
          <w:p w14:paraId="02C90120">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建立完整的个股期权投资者持续培育工作机制</w:t>
            </w:r>
          </w:p>
        </w:tc>
        <w:tc>
          <w:tcPr>
            <w:tcW w:w="264" w:type="pct"/>
            <w:tcBorders>
              <w:top w:val="single" w:color="auto" w:sz="4" w:space="0"/>
              <w:left w:val="single" w:color="auto" w:sz="4" w:space="0"/>
              <w:bottom w:val="single" w:color="auto" w:sz="4" w:space="0"/>
              <w:right w:val="single" w:color="auto" w:sz="4" w:space="0"/>
            </w:tcBorders>
            <w:vAlign w:val="center"/>
          </w:tcPr>
          <w:p w14:paraId="743CD91F">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5</w:t>
            </w:r>
          </w:p>
        </w:tc>
        <w:tc>
          <w:tcPr>
            <w:tcW w:w="1554" w:type="pct"/>
            <w:tcBorders>
              <w:top w:val="single" w:color="auto" w:sz="4" w:space="0"/>
              <w:left w:val="single" w:color="auto" w:sz="4" w:space="0"/>
              <w:bottom w:val="single" w:color="auto" w:sz="4" w:space="0"/>
              <w:right w:val="single" w:color="auto" w:sz="4" w:space="0"/>
            </w:tcBorders>
            <w:vAlign w:val="center"/>
          </w:tcPr>
          <w:p w14:paraId="5D62604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有一套期权投资者持续培育的总体部署与方案</w:t>
            </w:r>
          </w:p>
        </w:tc>
        <w:tc>
          <w:tcPr>
            <w:tcW w:w="676" w:type="pct"/>
            <w:tcBorders>
              <w:top w:val="single" w:color="auto" w:sz="4" w:space="0"/>
              <w:left w:val="single" w:color="auto" w:sz="4" w:space="0"/>
              <w:bottom w:val="single" w:color="auto" w:sz="4" w:space="0"/>
              <w:right w:val="single" w:color="auto" w:sz="4" w:space="0"/>
            </w:tcBorders>
            <w:vAlign w:val="center"/>
          </w:tcPr>
          <w:p w14:paraId="2213B53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w:t>
            </w:r>
          </w:p>
        </w:tc>
        <w:tc>
          <w:tcPr>
            <w:tcW w:w="743" w:type="pct"/>
            <w:tcBorders>
              <w:top w:val="single" w:color="auto" w:sz="4" w:space="0"/>
              <w:left w:val="single" w:color="auto" w:sz="4" w:space="0"/>
              <w:bottom w:val="single" w:color="auto" w:sz="4" w:space="0"/>
              <w:right w:val="single" w:color="auto" w:sz="4" w:space="0"/>
            </w:tcBorders>
            <w:vAlign w:val="center"/>
          </w:tcPr>
          <w:p w14:paraId="691B043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left w:val="single" w:color="auto" w:sz="4" w:space="0"/>
              <w:bottom w:val="single" w:color="auto" w:sz="4" w:space="0"/>
              <w:right w:val="single" w:color="auto" w:sz="4" w:space="0"/>
            </w:tcBorders>
            <w:vAlign w:val="center"/>
          </w:tcPr>
          <w:p w14:paraId="4C7ED0D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81F57F2">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left w:val="single" w:color="auto" w:sz="4" w:space="0"/>
              <w:bottom w:val="single" w:color="auto" w:sz="4" w:space="0"/>
              <w:right w:val="single" w:color="auto" w:sz="4" w:space="0"/>
            </w:tcBorders>
            <w:vAlign w:val="center"/>
          </w:tcPr>
          <w:p w14:paraId="257DB87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31A164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left w:val="single" w:color="auto" w:sz="4" w:space="0"/>
              <w:bottom w:val="single" w:color="auto" w:sz="4" w:space="0"/>
              <w:right w:val="single" w:color="auto" w:sz="4" w:space="0"/>
            </w:tcBorders>
            <w:vAlign w:val="center"/>
          </w:tcPr>
          <w:p w14:paraId="7AD671D8">
            <w:pPr>
              <w:widowControl w:val="0"/>
              <w:snapToGrid w:val="0"/>
              <w:spacing w:line="240" w:lineRule="auto"/>
              <w:ind w:firstLine="0" w:firstLineChars="0"/>
              <w:rPr>
                <w:rFonts w:eastAsia="仿宋" w:cs="Times New Roman"/>
                <w:sz w:val="24"/>
                <w:szCs w:val="28"/>
              </w:rPr>
            </w:pPr>
          </w:p>
        </w:tc>
      </w:tr>
      <w:tr w14:paraId="43711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continue"/>
            <w:tcBorders>
              <w:left w:val="single" w:color="auto" w:sz="4" w:space="0"/>
              <w:right w:val="single" w:color="auto" w:sz="4" w:space="0"/>
            </w:tcBorders>
            <w:vAlign w:val="center"/>
          </w:tcPr>
          <w:p w14:paraId="476A6DCA">
            <w:pPr>
              <w:widowControl w:val="0"/>
              <w:snapToGrid w:val="0"/>
              <w:spacing w:line="240" w:lineRule="auto"/>
              <w:ind w:firstLine="0" w:firstLineChars="0"/>
              <w:jc w:val="center"/>
              <w:rPr>
                <w:rFonts w:eastAsia="仿宋" w:cs="Times New Roman"/>
                <w:b/>
                <w:sz w:val="24"/>
                <w:szCs w:val="28"/>
              </w:rPr>
            </w:pPr>
          </w:p>
        </w:tc>
        <w:tc>
          <w:tcPr>
            <w:tcW w:w="264" w:type="pct"/>
            <w:tcBorders>
              <w:top w:val="single" w:color="auto" w:sz="4" w:space="0"/>
              <w:left w:val="single" w:color="auto" w:sz="4" w:space="0"/>
              <w:bottom w:val="single" w:color="auto" w:sz="4" w:space="0"/>
              <w:right w:val="single" w:color="auto" w:sz="4" w:space="0"/>
            </w:tcBorders>
            <w:vAlign w:val="center"/>
          </w:tcPr>
          <w:p w14:paraId="5902B00E">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6</w:t>
            </w:r>
          </w:p>
        </w:tc>
        <w:tc>
          <w:tcPr>
            <w:tcW w:w="1554" w:type="pct"/>
            <w:tcBorders>
              <w:top w:val="single" w:color="auto" w:sz="4" w:space="0"/>
              <w:left w:val="single" w:color="auto" w:sz="4" w:space="0"/>
              <w:bottom w:val="single" w:color="auto" w:sz="4" w:space="0"/>
              <w:right w:val="single" w:color="auto" w:sz="4" w:space="0"/>
            </w:tcBorders>
            <w:vAlign w:val="center"/>
          </w:tcPr>
          <w:p w14:paraId="5728E27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总部有专人负责统筹股票期权投资者培训</w:t>
            </w:r>
          </w:p>
        </w:tc>
        <w:tc>
          <w:tcPr>
            <w:tcW w:w="676" w:type="pct"/>
            <w:tcBorders>
              <w:top w:val="single" w:color="auto" w:sz="4" w:space="0"/>
              <w:left w:val="single" w:color="auto" w:sz="4" w:space="0"/>
              <w:bottom w:val="single" w:color="auto" w:sz="4" w:space="0"/>
              <w:right w:val="single" w:color="auto" w:sz="4" w:space="0"/>
            </w:tcBorders>
            <w:vAlign w:val="center"/>
          </w:tcPr>
          <w:p w14:paraId="5685308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查阅专门的岗位设置与职责</w:t>
            </w:r>
          </w:p>
        </w:tc>
        <w:tc>
          <w:tcPr>
            <w:tcW w:w="743" w:type="pct"/>
            <w:tcBorders>
              <w:top w:val="single" w:color="auto" w:sz="4" w:space="0"/>
              <w:left w:val="single" w:color="auto" w:sz="4" w:space="0"/>
              <w:bottom w:val="single" w:color="auto" w:sz="4" w:space="0"/>
              <w:right w:val="single" w:color="auto" w:sz="4" w:space="0"/>
            </w:tcBorders>
            <w:vAlign w:val="center"/>
          </w:tcPr>
          <w:p w14:paraId="4EA4369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left w:val="single" w:color="auto" w:sz="4" w:space="0"/>
              <w:bottom w:val="single" w:color="auto" w:sz="4" w:space="0"/>
              <w:right w:val="single" w:color="auto" w:sz="4" w:space="0"/>
            </w:tcBorders>
            <w:vAlign w:val="center"/>
          </w:tcPr>
          <w:p w14:paraId="0CCFF10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05DE0F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left w:val="single" w:color="auto" w:sz="4" w:space="0"/>
              <w:bottom w:val="single" w:color="auto" w:sz="4" w:space="0"/>
              <w:right w:val="single" w:color="auto" w:sz="4" w:space="0"/>
            </w:tcBorders>
            <w:vAlign w:val="center"/>
          </w:tcPr>
          <w:p w14:paraId="4C8C84FA">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45D6407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left w:val="single" w:color="auto" w:sz="4" w:space="0"/>
              <w:bottom w:val="single" w:color="auto" w:sz="4" w:space="0"/>
              <w:right w:val="single" w:color="auto" w:sz="4" w:space="0"/>
            </w:tcBorders>
            <w:vAlign w:val="center"/>
          </w:tcPr>
          <w:p w14:paraId="4773E04F">
            <w:pPr>
              <w:widowControl w:val="0"/>
              <w:snapToGrid w:val="0"/>
              <w:spacing w:line="240" w:lineRule="auto"/>
              <w:ind w:firstLine="0" w:firstLineChars="0"/>
              <w:rPr>
                <w:rFonts w:eastAsia="仿宋" w:cs="Times New Roman"/>
                <w:sz w:val="24"/>
                <w:szCs w:val="28"/>
              </w:rPr>
            </w:pPr>
          </w:p>
        </w:tc>
      </w:tr>
      <w:tr w14:paraId="78475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continue"/>
            <w:tcBorders>
              <w:left w:val="single" w:color="auto" w:sz="4" w:space="0"/>
              <w:right w:val="single" w:color="auto" w:sz="4" w:space="0"/>
            </w:tcBorders>
            <w:vAlign w:val="center"/>
          </w:tcPr>
          <w:p w14:paraId="639A0F8B">
            <w:pPr>
              <w:widowControl w:val="0"/>
              <w:snapToGrid w:val="0"/>
              <w:spacing w:line="240" w:lineRule="auto"/>
              <w:ind w:firstLine="0" w:firstLineChars="0"/>
              <w:jc w:val="center"/>
              <w:rPr>
                <w:rFonts w:eastAsia="仿宋" w:cs="Times New Roman"/>
                <w:b/>
                <w:sz w:val="24"/>
                <w:szCs w:val="28"/>
              </w:rPr>
            </w:pPr>
          </w:p>
        </w:tc>
        <w:tc>
          <w:tcPr>
            <w:tcW w:w="264" w:type="pct"/>
            <w:tcBorders>
              <w:top w:val="single" w:color="auto" w:sz="4" w:space="0"/>
              <w:left w:val="single" w:color="auto" w:sz="4" w:space="0"/>
              <w:bottom w:val="single" w:color="auto" w:sz="4" w:space="0"/>
            </w:tcBorders>
            <w:vAlign w:val="center"/>
          </w:tcPr>
          <w:p w14:paraId="28533F02">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7</w:t>
            </w:r>
          </w:p>
        </w:tc>
        <w:tc>
          <w:tcPr>
            <w:tcW w:w="1554" w:type="pct"/>
            <w:tcBorders>
              <w:top w:val="single" w:color="auto" w:sz="4" w:space="0"/>
              <w:bottom w:val="single" w:color="auto" w:sz="4" w:space="0"/>
            </w:tcBorders>
            <w:vAlign w:val="center"/>
          </w:tcPr>
          <w:p w14:paraId="1CA4FEB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有计划地制作、分发相关宣传资料，通过有效手段宣传本所股票期权投教专区及微信公众平台</w:t>
            </w:r>
          </w:p>
        </w:tc>
        <w:tc>
          <w:tcPr>
            <w:tcW w:w="676" w:type="pct"/>
            <w:tcBorders>
              <w:top w:val="single" w:color="auto" w:sz="4" w:space="0"/>
              <w:bottom w:val="single" w:color="auto" w:sz="4" w:space="0"/>
            </w:tcBorders>
            <w:vAlign w:val="center"/>
          </w:tcPr>
          <w:p w14:paraId="00CC041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查阅宣传资料、宣传渠道</w:t>
            </w:r>
          </w:p>
        </w:tc>
        <w:tc>
          <w:tcPr>
            <w:tcW w:w="743" w:type="pct"/>
            <w:tcBorders>
              <w:top w:val="single" w:color="auto" w:sz="4" w:space="0"/>
              <w:bottom w:val="single" w:color="auto" w:sz="4" w:space="0"/>
            </w:tcBorders>
            <w:vAlign w:val="center"/>
          </w:tcPr>
          <w:p w14:paraId="2DC62294">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bottom w:val="single" w:color="auto" w:sz="4" w:space="0"/>
            </w:tcBorders>
            <w:vAlign w:val="center"/>
          </w:tcPr>
          <w:p w14:paraId="2529460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B70841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bottom w:val="single" w:color="auto" w:sz="4" w:space="0"/>
            </w:tcBorders>
            <w:vAlign w:val="center"/>
          </w:tcPr>
          <w:p w14:paraId="6687A2F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C836F4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bottom w:val="single" w:color="auto" w:sz="4" w:space="0"/>
            </w:tcBorders>
            <w:vAlign w:val="center"/>
          </w:tcPr>
          <w:p w14:paraId="59504A82">
            <w:pPr>
              <w:widowControl w:val="0"/>
              <w:snapToGrid w:val="0"/>
              <w:spacing w:line="240" w:lineRule="auto"/>
              <w:ind w:firstLine="0" w:firstLineChars="0"/>
              <w:rPr>
                <w:rFonts w:eastAsia="仿宋" w:cs="Times New Roman"/>
                <w:sz w:val="24"/>
                <w:szCs w:val="28"/>
              </w:rPr>
            </w:pPr>
          </w:p>
        </w:tc>
      </w:tr>
      <w:tr w14:paraId="70509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continue"/>
            <w:tcBorders>
              <w:left w:val="single" w:color="auto" w:sz="4" w:space="0"/>
              <w:bottom w:val="single" w:color="auto" w:sz="4" w:space="0"/>
              <w:right w:val="single" w:color="auto" w:sz="4" w:space="0"/>
            </w:tcBorders>
            <w:vAlign w:val="center"/>
          </w:tcPr>
          <w:p w14:paraId="62D86DA7">
            <w:pPr>
              <w:widowControl w:val="0"/>
              <w:snapToGrid w:val="0"/>
              <w:spacing w:line="240" w:lineRule="auto"/>
              <w:ind w:firstLine="0" w:firstLineChars="0"/>
              <w:jc w:val="center"/>
              <w:rPr>
                <w:rFonts w:eastAsia="仿宋" w:cs="Times New Roman"/>
                <w:b/>
                <w:sz w:val="24"/>
                <w:szCs w:val="28"/>
              </w:rPr>
            </w:pPr>
          </w:p>
        </w:tc>
        <w:tc>
          <w:tcPr>
            <w:tcW w:w="264" w:type="pct"/>
            <w:tcBorders>
              <w:top w:val="single" w:color="auto" w:sz="4" w:space="0"/>
              <w:left w:val="single" w:color="auto" w:sz="4" w:space="0"/>
              <w:bottom w:val="single" w:color="auto" w:sz="4" w:space="0"/>
            </w:tcBorders>
            <w:vAlign w:val="center"/>
          </w:tcPr>
          <w:p w14:paraId="23F37DB4">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8</w:t>
            </w:r>
          </w:p>
        </w:tc>
        <w:tc>
          <w:tcPr>
            <w:tcW w:w="1554" w:type="pct"/>
            <w:tcBorders>
              <w:top w:val="single" w:color="auto" w:sz="4" w:space="0"/>
              <w:bottom w:val="single" w:color="auto" w:sz="4" w:space="0"/>
            </w:tcBorders>
            <w:vAlign w:val="center"/>
          </w:tcPr>
          <w:p w14:paraId="4F2A3AA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在分支机构、营业部持续开展股票期权专题培训</w:t>
            </w:r>
          </w:p>
        </w:tc>
        <w:tc>
          <w:tcPr>
            <w:tcW w:w="676" w:type="pct"/>
            <w:tcBorders>
              <w:top w:val="single" w:color="auto" w:sz="4" w:space="0"/>
              <w:bottom w:val="single" w:color="auto" w:sz="4" w:space="0"/>
            </w:tcBorders>
            <w:vAlign w:val="center"/>
          </w:tcPr>
          <w:p w14:paraId="221917D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查阅培训留痕资料</w:t>
            </w:r>
          </w:p>
        </w:tc>
        <w:tc>
          <w:tcPr>
            <w:tcW w:w="743" w:type="pct"/>
            <w:tcBorders>
              <w:top w:val="single" w:color="auto" w:sz="4" w:space="0"/>
              <w:bottom w:val="single" w:color="auto" w:sz="4" w:space="0"/>
            </w:tcBorders>
            <w:vAlign w:val="center"/>
          </w:tcPr>
          <w:p w14:paraId="37B3B67F">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bottom w:val="single" w:color="auto" w:sz="4" w:space="0"/>
            </w:tcBorders>
            <w:vAlign w:val="center"/>
          </w:tcPr>
          <w:p w14:paraId="046CEC80">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1B98D1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bottom w:val="single" w:color="auto" w:sz="4" w:space="0"/>
            </w:tcBorders>
            <w:vAlign w:val="center"/>
          </w:tcPr>
          <w:p w14:paraId="26678E98">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6DD616C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bottom w:val="single" w:color="auto" w:sz="4" w:space="0"/>
            </w:tcBorders>
            <w:vAlign w:val="center"/>
          </w:tcPr>
          <w:p w14:paraId="493423DC">
            <w:pPr>
              <w:widowControl w:val="0"/>
              <w:snapToGrid w:val="0"/>
              <w:spacing w:line="240" w:lineRule="auto"/>
              <w:ind w:firstLine="0" w:firstLineChars="0"/>
              <w:rPr>
                <w:rFonts w:eastAsia="仿宋" w:cs="Times New Roman"/>
                <w:sz w:val="24"/>
                <w:szCs w:val="28"/>
              </w:rPr>
            </w:pPr>
          </w:p>
        </w:tc>
      </w:tr>
      <w:tr w14:paraId="5C64E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restart"/>
            <w:tcBorders>
              <w:top w:val="single" w:color="auto" w:sz="4" w:space="0"/>
            </w:tcBorders>
            <w:vAlign w:val="center"/>
          </w:tcPr>
          <w:p w14:paraId="5E44DF5F">
            <w:pPr>
              <w:widowControl w:val="0"/>
              <w:snapToGrid w:val="0"/>
              <w:spacing w:line="240" w:lineRule="auto"/>
              <w:ind w:firstLine="0" w:firstLineChars="0"/>
              <w:jc w:val="center"/>
              <w:rPr>
                <w:rFonts w:eastAsia="仿宋" w:cs="Times New Roman"/>
                <w:b/>
                <w:sz w:val="24"/>
                <w:szCs w:val="28"/>
              </w:rPr>
            </w:pPr>
            <w:r>
              <w:rPr>
                <w:rFonts w:hint="eastAsia" w:eastAsia="仿宋" w:cs="Times New Roman"/>
                <w:b/>
                <w:sz w:val="24"/>
                <w:szCs w:val="28"/>
              </w:rPr>
              <w:t>加强对营业部一线员工的个股期权知识培育</w:t>
            </w:r>
          </w:p>
        </w:tc>
        <w:tc>
          <w:tcPr>
            <w:tcW w:w="264" w:type="pct"/>
            <w:tcBorders>
              <w:top w:val="single" w:color="auto" w:sz="4" w:space="0"/>
              <w:bottom w:val="single" w:color="auto" w:sz="4" w:space="0"/>
            </w:tcBorders>
            <w:vAlign w:val="center"/>
          </w:tcPr>
          <w:p w14:paraId="133A1CF3">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9</w:t>
            </w:r>
          </w:p>
        </w:tc>
        <w:tc>
          <w:tcPr>
            <w:tcW w:w="1554" w:type="pct"/>
            <w:tcBorders>
              <w:top w:val="single" w:color="auto" w:sz="4" w:space="0"/>
              <w:bottom w:val="single" w:color="auto" w:sz="4" w:space="0"/>
            </w:tcBorders>
            <w:vAlign w:val="center"/>
          </w:tcPr>
          <w:p w14:paraId="37755D29">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加强营业部的期权人才队伍建设，明确营业部员工学习要求及其考核标准</w:t>
            </w:r>
          </w:p>
        </w:tc>
        <w:tc>
          <w:tcPr>
            <w:tcW w:w="676" w:type="pct"/>
            <w:tcBorders>
              <w:top w:val="single" w:color="auto" w:sz="4" w:space="0"/>
              <w:bottom w:val="single" w:color="auto" w:sz="4" w:space="0"/>
            </w:tcBorders>
            <w:vAlign w:val="center"/>
          </w:tcPr>
          <w:p w14:paraId="2C83C14B">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查阅文档（如公司下发的相关通知、公司考核指标等）</w:t>
            </w:r>
          </w:p>
        </w:tc>
        <w:tc>
          <w:tcPr>
            <w:tcW w:w="743" w:type="pct"/>
            <w:tcBorders>
              <w:top w:val="single" w:color="auto" w:sz="4" w:space="0"/>
              <w:bottom w:val="single" w:color="auto" w:sz="4" w:space="0"/>
            </w:tcBorders>
            <w:vAlign w:val="center"/>
          </w:tcPr>
          <w:p w14:paraId="559B141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bottom w:val="single" w:color="auto" w:sz="4" w:space="0"/>
            </w:tcBorders>
            <w:vAlign w:val="center"/>
          </w:tcPr>
          <w:p w14:paraId="395E98E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7D1C10D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bottom w:val="single" w:color="auto" w:sz="4" w:space="0"/>
            </w:tcBorders>
            <w:vAlign w:val="center"/>
          </w:tcPr>
          <w:p w14:paraId="38BEA97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0577742D">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bottom w:val="single" w:color="auto" w:sz="4" w:space="0"/>
            </w:tcBorders>
            <w:vAlign w:val="center"/>
          </w:tcPr>
          <w:p w14:paraId="52B09C31">
            <w:pPr>
              <w:widowControl w:val="0"/>
              <w:snapToGrid w:val="0"/>
              <w:spacing w:line="240" w:lineRule="auto"/>
              <w:ind w:firstLine="0" w:firstLineChars="0"/>
              <w:rPr>
                <w:rFonts w:eastAsia="仿宋" w:cs="Times New Roman"/>
                <w:sz w:val="24"/>
                <w:szCs w:val="28"/>
              </w:rPr>
            </w:pPr>
          </w:p>
        </w:tc>
      </w:tr>
      <w:tr w14:paraId="1115A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312" w:hRule="atLeast"/>
          <w:jc w:val="center"/>
        </w:trPr>
        <w:tc>
          <w:tcPr>
            <w:tcW w:w="548" w:type="pct"/>
            <w:vMerge w:val="continue"/>
            <w:tcBorders>
              <w:bottom w:val="single" w:color="auto" w:sz="4" w:space="0"/>
            </w:tcBorders>
            <w:vAlign w:val="center"/>
          </w:tcPr>
          <w:p w14:paraId="25E51F40">
            <w:pPr>
              <w:widowControl w:val="0"/>
              <w:snapToGrid w:val="0"/>
              <w:spacing w:line="240" w:lineRule="auto"/>
              <w:ind w:firstLine="0" w:firstLineChars="0"/>
              <w:jc w:val="center"/>
              <w:rPr>
                <w:rFonts w:eastAsia="仿宋" w:cs="Times New Roman"/>
                <w:b/>
                <w:sz w:val="24"/>
                <w:szCs w:val="28"/>
              </w:rPr>
            </w:pPr>
          </w:p>
        </w:tc>
        <w:tc>
          <w:tcPr>
            <w:tcW w:w="264" w:type="pct"/>
            <w:tcBorders>
              <w:top w:val="single" w:color="auto" w:sz="4" w:space="0"/>
              <w:bottom w:val="single" w:color="auto" w:sz="4" w:space="0"/>
            </w:tcBorders>
            <w:vAlign w:val="center"/>
          </w:tcPr>
          <w:p w14:paraId="61ECA1F4">
            <w:pPr>
              <w:widowControl w:val="0"/>
              <w:snapToGrid w:val="0"/>
              <w:spacing w:line="240" w:lineRule="auto"/>
              <w:ind w:firstLine="0" w:firstLineChars="0"/>
              <w:jc w:val="center"/>
              <w:rPr>
                <w:rFonts w:eastAsia="仿宋" w:cs="Times New Roman"/>
                <w:sz w:val="24"/>
                <w:szCs w:val="28"/>
              </w:rPr>
            </w:pPr>
            <w:r>
              <w:rPr>
                <w:rFonts w:hint="eastAsia" w:eastAsia="仿宋" w:cs="Times New Roman"/>
                <w:sz w:val="24"/>
                <w:szCs w:val="28"/>
              </w:rPr>
              <w:t>10</w:t>
            </w:r>
          </w:p>
        </w:tc>
        <w:tc>
          <w:tcPr>
            <w:tcW w:w="1554" w:type="pct"/>
            <w:tcBorders>
              <w:top w:val="single" w:color="auto" w:sz="4" w:space="0"/>
              <w:bottom w:val="single" w:color="auto" w:sz="4" w:space="0"/>
            </w:tcBorders>
            <w:vAlign w:val="center"/>
          </w:tcPr>
          <w:p w14:paraId="4E0E0753">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拟开展期权经纪业务的营业部应当具有能够为投资者熟练解答期权常见问题的工作人员</w:t>
            </w:r>
          </w:p>
        </w:tc>
        <w:tc>
          <w:tcPr>
            <w:tcW w:w="676" w:type="pct"/>
            <w:tcBorders>
              <w:top w:val="single" w:color="auto" w:sz="4" w:space="0"/>
              <w:bottom w:val="single" w:color="auto" w:sz="4" w:space="0"/>
            </w:tcBorders>
            <w:vAlign w:val="center"/>
          </w:tcPr>
          <w:p w14:paraId="0B3BD465">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营业部现场访谈</w:t>
            </w:r>
          </w:p>
        </w:tc>
        <w:tc>
          <w:tcPr>
            <w:tcW w:w="743" w:type="pct"/>
            <w:tcBorders>
              <w:top w:val="single" w:color="auto" w:sz="4" w:space="0"/>
              <w:bottom w:val="single" w:color="auto" w:sz="4" w:space="0"/>
            </w:tcBorders>
            <w:vAlign w:val="center"/>
          </w:tcPr>
          <w:p w14:paraId="114FE6FC">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《经纪业务指南》</w:t>
            </w:r>
          </w:p>
        </w:tc>
        <w:tc>
          <w:tcPr>
            <w:tcW w:w="405" w:type="pct"/>
            <w:tcBorders>
              <w:top w:val="single" w:color="auto" w:sz="4" w:space="0"/>
              <w:bottom w:val="single" w:color="auto" w:sz="4" w:space="0"/>
            </w:tcBorders>
            <w:vAlign w:val="center"/>
          </w:tcPr>
          <w:p w14:paraId="415CFF2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27B652F1">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6" w:type="pct"/>
            <w:tcBorders>
              <w:top w:val="single" w:color="auto" w:sz="4" w:space="0"/>
              <w:bottom w:val="single" w:color="auto" w:sz="4" w:space="0"/>
            </w:tcBorders>
            <w:vAlign w:val="center"/>
          </w:tcPr>
          <w:p w14:paraId="1898A91E">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□是</w:t>
            </w:r>
          </w:p>
          <w:p w14:paraId="339C94E7">
            <w:pPr>
              <w:widowControl w:val="0"/>
              <w:snapToGrid w:val="0"/>
              <w:spacing w:line="240" w:lineRule="auto"/>
              <w:ind w:firstLine="0" w:firstLineChars="0"/>
              <w:rPr>
                <w:rFonts w:eastAsia="仿宋" w:cs="Times New Roman"/>
                <w:sz w:val="24"/>
                <w:szCs w:val="28"/>
              </w:rPr>
            </w:pPr>
            <w:r>
              <w:rPr>
                <w:rFonts w:hint="eastAsia" w:eastAsia="仿宋" w:cs="Times New Roman"/>
                <w:sz w:val="24"/>
                <w:szCs w:val="28"/>
              </w:rPr>
              <w:t>□否</w:t>
            </w:r>
          </w:p>
        </w:tc>
        <w:tc>
          <w:tcPr>
            <w:tcW w:w="404" w:type="pct"/>
            <w:tcBorders>
              <w:top w:val="single" w:color="auto" w:sz="4" w:space="0"/>
              <w:bottom w:val="single" w:color="auto" w:sz="4" w:space="0"/>
            </w:tcBorders>
            <w:vAlign w:val="center"/>
          </w:tcPr>
          <w:p w14:paraId="190933D1">
            <w:pPr>
              <w:widowControl w:val="0"/>
              <w:snapToGrid w:val="0"/>
              <w:spacing w:line="240" w:lineRule="auto"/>
              <w:ind w:firstLine="0" w:firstLineChars="0"/>
              <w:rPr>
                <w:rFonts w:eastAsia="仿宋" w:cs="Times New Roman"/>
                <w:sz w:val="24"/>
                <w:szCs w:val="28"/>
              </w:rPr>
            </w:pPr>
          </w:p>
        </w:tc>
      </w:tr>
    </w:tbl>
    <w:p w14:paraId="05C8D9CA">
      <w:pPr>
        <w:spacing w:line="400" w:lineRule="exact"/>
        <w:ind w:firstLine="0" w:firstLineChars="0"/>
        <w:rPr>
          <w:rFonts w:cs="Times New Roman"/>
          <w:bCs/>
          <w:sz w:val="28"/>
          <w:szCs w:val="24"/>
        </w:rPr>
      </w:pPr>
    </w:p>
    <w:p w14:paraId="3EA8143D">
      <w:pPr>
        <w:pStyle w:val="4"/>
        <w:jc w:val="both"/>
        <w:rPr>
          <w:rFonts w:hint="eastAsia" w:ascii="Times New Roman" w:hAnsi="Times New Roman"/>
          <w:lang w:eastAsia="zh-CN"/>
        </w:rPr>
      </w:pPr>
      <w:r>
        <w:rPr>
          <w:rFonts w:cs="Times New Roman"/>
          <w:bCs/>
          <w:sz w:val="28"/>
          <w:szCs w:val="24"/>
        </w:rPr>
        <w:br w:type="page"/>
      </w:r>
      <w:r>
        <w:rPr>
          <w:rFonts w:hint="default" w:ascii="Times New Roman" w:hAnsi="Times New Roman"/>
        </w:rPr>
        <w:t>附件</w:t>
      </w:r>
      <w:r>
        <w:rPr>
          <w:rFonts w:hint="eastAsia" w:ascii="Times New Roman" w:hAnsi="Times New Roman"/>
          <w:lang w:eastAsia="zh-CN"/>
        </w:rPr>
        <w:t>二</w:t>
      </w:r>
    </w:p>
    <w:bookmarkEnd w:id="552"/>
    <w:bookmarkEnd w:id="553"/>
    <w:bookmarkEnd w:id="554"/>
    <w:bookmarkEnd w:id="555"/>
    <w:bookmarkEnd w:id="556"/>
    <w:bookmarkEnd w:id="557"/>
    <w:bookmarkEnd w:id="558"/>
    <w:bookmarkEnd w:id="559"/>
    <w:bookmarkEnd w:id="560"/>
    <w:bookmarkEnd w:id="561"/>
    <w:bookmarkEnd w:id="562"/>
    <w:bookmarkEnd w:id="563"/>
    <w:p w14:paraId="7B2F678F">
      <w:pPr>
        <w:widowControl/>
        <w:jc w:val="center"/>
        <w:rPr>
          <w:rFonts w:ascii="黑体" w:hAnsi="黑体" w:eastAsia="黑体"/>
          <w:color w:val="000000"/>
          <w:sz w:val="30"/>
          <w:szCs w:val="30"/>
        </w:rPr>
      </w:pPr>
      <w:r>
        <w:rPr>
          <w:rFonts w:hint="eastAsia" w:ascii="黑体" w:hAnsi="黑体" w:eastAsia="黑体"/>
          <w:color w:val="000000"/>
          <w:sz w:val="30"/>
          <w:szCs w:val="30"/>
        </w:rPr>
        <w:t>期货公司股票期权经纪业务人员情况表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425"/>
        <w:gridCol w:w="851"/>
        <w:gridCol w:w="774"/>
        <w:gridCol w:w="501"/>
        <w:gridCol w:w="1134"/>
        <w:gridCol w:w="426"/>
        <w:gridCol w:w="2316"/>
      </w:tblGrid>
      <w:tr w14:paraId="139F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C94E922">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公司名称</w:t>
            </w:r>
          </w:p>
        </w:tc>
        <w:tc>
          <w:tcPr>
            <w:tcW w:w="6994" w:type="dxa"/>
            <w:gridSpan w:val="8"/>
            <w:tcBorders>
              <w:top w:val="single" w:color="auto" w:sz="4" w:space="0"/>
              <w:left w:val="single" w:color="auto" w:sz="4" w:space="0"/>
              <w:bottom w:val="single" w:color="auto" w:sz="4" w:space="0"/>
              <w:right w:val="single" w:color="auto" w:sz="4" w:space="0"/>
            </w:tcBorders>
          </w:tcPr>
          <w:p w14:paraId="0F018D38">
            <w:pPr>
              <w:rPr>
                <w:rFonts w:ascii="仿宋_GB2312" w:hAnsi="Times New Roman" w:eastAsia="仿宋_GB2312"/>
                <w:color w:val="000000"/>
                <w:sz w:val="20"/>
                <w:szCs w:val="20"/>
              </w:rPr>
            </w:pPr>
          </w:p>
        </w:tc>
      </w:tr>
      <w:tr w14:paraId="5AFC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gridSpan w:val="5"/>
            <w:tcBorders>
              <w:top w:val="single" w:color="auto" w:sz="4" w:space="0"/>
              <w:left w:val="single" w:color="auto" w:sz="4" w:space="0"/>
              <w:bottom w:val="single" w:color="auto" w:sz="4" w:space="0"/>
              <w:right w:val="single" w:color="auto" w:sz="4" w:space="0"/>
            </w:tcBorders>
            <w:vAlign w:val="center"/>
          </w:tcPr>
          <w:p w14:paraId="0093E798">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是否具备金融期货经纪业务资格</w:t>
            </w:r>
          </w:p>
        </w:tc>
        <w:tc>
          <w:tcPr>
            <w:tcW w:w="4377" w:type="dxa"/>
            <w:gridSpan w:val="4"/>
            <w:tcBorders>
              <w:top w:val="single" w:color="auto" w:sz="4" w:space="0"/>
              <w:left w:val="single" w:color="auto" w:sz="4" w:space="0"/>
              <w:bottom w:val="single" w:color="auto" w:sz="4" w:space="0"/>
              <w:right w:val="single" w:color="auto" w:sz="4" w:space="0"/>
            </w:tcBorders>
            <w:vAlign w:val="center"/>
          </w:tcPr>
          <w:p w14:paraId="563ACC75">
            <w:pPr>
              <w:rPr>
                <w:rFonts w:ascii="仿宋_GB2312" w:hAnsi="Times New Roman" w:eastAsia="仿宋_GB2312"/>
                <w:color w:val="000000"/>
                <w:sz w:val="20"/>
                <w:szCs w:val="20"/>
              </w:rPr>
            </w:pPr>
          </w:p>
        </w:tc>
      </w:tr>
      <w:tr w14:paraId="1FBF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bottom w:val="single" w:color="auto" w:sz="4" w:space="0"/>
              <w:right w:val="single" w:color="auto" w:sz="4" w:space="0"/>
            </w:tcBorders>
          </w:tcPr>
          <w:p w14:paraId="72DC5988">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经纪业务</w:t>
            </w:r>
          </w:p>
          <w:p w14:paraId="535010BC">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负责人</w:t>
            </w:r>
          </w:p>
        </w:tc>
        <w:tc>
          <w:tcPr>
            <w:tcW w:w="992" w:type="dxa"/>
            <w:gridSpan w:val="2"/>
            <w:tcBorders>
              <w:top w:val="single" w:color="auto" w:sz="4" w:space="0"/>
              <w:left w:val="single" w:color="auto" w:sz="4" w:space="0"/>
              <w:bottom w:val="single" w:color="auto" w:sz="4" w:space="0"/>
              <w:right w:val="single" w:color="auto" w:sz="4" w:space="0"/>
            </w:tcBorders>
          </w:tcPr>
          <w:p w14:paraId="20AAD115">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姓名</w:t>
            </w:r>
          </w:p>
        </w:tc>
        <w:tc>
          <w:tcPr>
            <w:tcW w:w="6002" w:type="dxa"/>
            <w:gridSpan w:val="6"/>
            <w:tcBorders>
              <w:top w:val="single" w:color="auto" w:sz="4" w:space="0"/>
              <w:left w:val="single" w:color="auto" w:sz="4" w:space="0"/>
              <w:bottom w:val="single" w:color="auto" w:sz="4" w:space="0"/>
              <w:right w:val="single" w:color="auto" w:sz="4" w:space="0"/>
            </w:tcBorders>
          </w:tcPr>
          <w:p w14:paraId="71214728">
            <w:pPr>
              <w:rPr>
                <w:rFonts w:ascii="仿宋_GB2312" w:hAnsi="Times New Roman" w:eastAsia="仿宋_GB2312"/>
                <w:color w:val="000000"/>
                <w:sz w:val="20"/>
                <w:szCs w:val="20"/>
              </w:rPr>
            </w:pPr>
          </w:p>
        </w:tc>
      </w:tr>
      <w:tr w14:paraId="77F6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0FC2AE1D">
            <w:pPr>
              <w:widowControl/>
              <w:jc w:val="left"/>
              <w:rPr>
                <w:rFonts w:ascii="仿宋_GB2312" w:hAnsi="Times New Roman" w:eastAsia="仿宋_GB2312"/>
                <w:color w:val="000000"/>
                <w:sz w:val="20"/>
                <w:szCs w:val="20"/>
              </w:rPr>
            </w:pPr>
          </w:p>
        </w:tc>
        <w:tc>
          <w:tcPr>
            <w:tcW w:w="992" w:type="dxa"/>
            <w:gridSpan w:val="2"/>
            <w:tcBorders>
              <w:top w:val="single" w:color="auto" w:sz="4" w:space="0"/>
              <w:left w:val="single" w:color="auto" w:sz="4" w:space="0"/>
              <w:bottom w:val="single" w:color="auto" w:sz="4" w:space="0"/>
              <w:right w:val="single" w:color="auto" w:sz="4" w:space="0"/>
            </w:tcBorders>
          </w:tcPr>
          <w:p w14:paraId="7B43381F">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部门</w:t>
            </w:r>
          </w:p>
        </w:tc>
        <w:tc>
          <w:tcPr>
            <w:tcW w:w="6002" w:type="dxa"/>
            <w:gridSpan w:val="6"/>
            <w:tcBorders>
              <w:top w:val="single" w:color="auto" w:sz="4" w:space="0"/>
              <w:left w:val="single" w:color="auto" w:sz="4" w:space="0"/>
              <w:bottom w:val="single" w:color="auto" w:sz="4" w:space="0"/>
              <w:right w:val="single" w:color="auto" w:sz="4" w:space="0"/>
            </w:tcBorders>
          </w:tcPr>
          <w:p w14:paraId="177ABF09">
            <w:pPr>
              <w:rPr>
                <w:rFonts w:ascii="仿宋_GB2312" w:hAnsi="Times New Roman" w:eastAsia="仿宋_GB2312"/>
                <w:color w:val="000000"/>
                <w:sz w:val="20"/>
                <w:szCs w:val="20"/>
              </w:rPr>
            </w:pPr>
          </w:p>
        </w:tc>
      </w:tr>
      <w:tr w14:paraId="7C52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4A6B783B">
            <w:pPr>
              <w:widowControl/>
              <w:jc w:val="left"/>
              <w:rPr>
                <w:rFonts w:ascii="仿宋_GB2312" w:hAnsi="Times New Roman" w:eastAsia="仿宋_GB2312"/>
                <w:color w:val="000000"/>
                <w:sz w:val="20"/>
                <w:szCs w:val="20"/>
              </w:rPr>
            </w:pPr>
          </w:p>
        </w:tc>
        <w:tc>
          <w:tcPr>
            <w:tcW w:w="992" w:type="dxa"/>
            <w:gridSpan w:val="2"/>
            <w:tcBorders>
              <w:top w:val="single" w:color="auto" w:sz="4" w:space="0"/>
              <w:left w:val="single" w:color="auto" w:sz="4" w:space="0"/>
              <w:bottom w:val="single" w:color="auto" w:sz="4" w:space="0"/>
              <w:right w:val="single" w:color="auto" w:sz="4" w:space="0"/>
            </w:tcBorders>
          </w:tcPr>
          <w:p w14:paraId="39571486">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电话</w:t>
            </w:r>
          </w:p>
        </w:tc>
        <w:tc>
          <w:tcPr>
            <w:tcW w:w="2126" w:type="dxa"/>
            <w:gridSpan w:val="3"/>
            <w:tcBorders>
              <w:top w:val="single" w:color="auto" w:sz="4" w:space="0"/>
              <w:left w:val="single" w:color="auto" w:sz="4" w:space="0"/>
              <w:bottom w:val="single" w:color="auto" w:sz="4" w:space="0"/>
              <w:right w:val="single" w:color="auto" w:sz="4" w:space="0"/>
            </w:tcBorders>
          </w:tcPr>
          <w:p w14:paraId="57D6BEAB">
            <w:pPr>
              <w:rPr>
                <w:rFonts w:ascii="仿宋_GB2312" w:hAnsi="Times New Roman" w:eastAsia="仿宋_GB2312"/>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tcPr>
          <w:p w14:paraId="563C3FE5">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邮件地址</w:t>
            </w:r>
          </w:p>
        </w:tc>
        <w:tc>
          <w:tcPr>
            <w:tcW w:w="2742" w:type="dxa"/>
            <w:gridSpan w:val="2"/>
            <w:tcBorders>
              <w:top w:val="single" w:color="auto" w:sz="4" w:space="0"/>
              <w:left w:val="single" w:color="auto" w:sz="4" w:space="0"/>
              <w:bottom w:val="single" w:color="auto" w:sz="4" w:space="0"/>
              <w:right w:val="single" w:color="auto" w:sz="4" w:space="0"/>
            </w:tcBorders>
          </w:tcPr>
          <w:p w14:paraId="774704D3">
            <w:pPr>
              <w:rPr>
                <w:rFonts w:ascii="仿宋_GB2312" w:hAnsi="Times New Roman" w:eastAsia="仿宋_GB2312"/>
                <w:color w:val="000000"/>
                <w:sz w:val="20"/>
                <w:szCs w:val="20"/>
              </w:rPr>
            </w:pPr>
          </w:p>
        </w:tc>
      </w:tr>
      <w:tr w14:paraId="62E4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bottom w:val="single" w:color="auto" w:sz="4" w:space="0"/>
              <w:right w:val="single" w:color="auto" w:sz="4" w:space="0"/>
            </w:tcBorders>
          </w:tcPr>
          <w:p w14:paraId="42111CD8">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经纪业务</w:t>
            </w:r>
          </w:p>
          <w:p w14:paraId="74A116A2">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联络人</w:t>
            </w:r>
          </w:p>
        </w:tc>
        <w:tc>
          <w:tcPr>
            <w:tcW w:w="992" w:type="dxa"/>
            <w:gridSpan w:val="2"/>
            <w:tcBorders>
              <w:top w:val="single" w:color="auto" w:sz="4" w:space="0"/>
              <w:left w:val="single" w:color="auto" w:sz="4" w:space="0"/>
              <w:bottom w:val="single" w:color="auto" w:sz="4" w:space="0"/>
              <w:right w:val="single" w:color="auto" w:sz="4" w:space="0"/>
            </w:tcBorders>
          </w:tcPr>
          <w:p w14:paraId="48B18964">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姓名</w:t>
            </w:r>
          </w:p>
        </w:tc>
        <w:tc>
          <w:tcPr>
            <w:tcW w:w="6002" w:type="dxa"/>
            <w:gridSpan w:val="6"/>
            <w:tcBorders>
              <w:top w:val="single" w:color="auto" w:sz="4" w:space="0"/>
              <w:left w:val="single" w:color="auto" w:sz="4" w:space="0"/>
              <w:bottom w:val="single" w:color="auto" w:sz="4" w:space="0"/>
              <w:right w:val="single" w:color="auto" w:sz="4" w:space="0"/>
            </w:tcBorders>
          </w:tcPr>
          <w:p w14:paraId="32994433">
            <w:pPr>
              <w:rPr>
                <w:rFonts w:ascii="仿宋_GB2312" w:hAnsi="Times New Roman" w:eastAsia="仿宋_GB2312"/>
                <w:color w:val="000000"/>
                <w:sz w:val="20"/>
                <w:szCs w:val="20"/>
              </w:rPr>
            </w:pPr>
          </w:p>
        </w:tc>
      </w:tr>
      <w:tr w14:paraId="5F31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4E89DCBB">
            <w:pPr>
              <w:widowControl/>
              <w:jc w:val="left"/>
              <w:rPr>
                <w:rFonts w:ascii="仿宋_GB2312" w:hAnsi="Times New Roman" w:eastAsia="仿宋_GB2312"/>
                <w:color w:val="000000"/>
                <w:sz w:val="20"/>
                <w:szCs w:val="20"/>
              </w:rPr>
            </w:pPr>
          </w:p>
        </w:tc>
        <w:tc>
          <w:tcPr>
            <w:tcW w:w="992" w:type="dxa"/>
            <w:gridSpan w:val="2"/>
            <w:tcBorders>
              <w:top w:val="single" w:color="auto" w:sz="4" w:space="0"/>
              <w:left w:val="single" w:color="auto" w:sz="4" w:space="0"/>
              <w:bottom w:val="single" w:color="auto" w:sz="4" w:space="0"/>
              <w:right w:val="single" w:color="auto" w:sz="4" w:space="0"/>
            </w:tcBorders>
          </w:tcPr>
          <w:p w14:paraId="1B8E8F5D">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部门</w:t>
            </w:r>
          </w:p>
        </w:tc>
        <w:tc>
          <w:tcPr>
            <w:tcW w:w="6002" w:type="dxa"/>
            <w:gridSpan w:val="6"/>
            <w:tcBorders>
              <w:top w:val="single" w:color="auto" w:sz="4" w:space="0"/>
              <w:left w:val="single" w:color="auto" w:sz="4" w:space="0"/>
              <w:bottom w:val="single" w:color="auto" w:sz="4" w:space="0"/>
              <w:right w:val="single" w:color="auto" w:sz="4" w:space="0"/>
            </w:tcBorders>
          </w:tcPr>
          <w:p w14:paraId="3E97E440">
            <w:pPr>
              <w:rPr>
                <w:rFonts w:ascii="仿宋_GB2312" w:hAnsi="Times New Roman" w:eastAsia="仿宋_GB2312"/>
                <w:color w:val="000000"/>
                <w:sz w:val="20"/>
                <w:szCs w:val="20"/>
              </w:rPr>
            </w:pPr>
          </w:p>
        </w:tc>
      </w:tr>
      <w:tr w14:paraId="5EBE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21F3FEED">
            <w:pPr>
              <w:widowControl/>
              <w:jc w:val="left"/>
              <w:rPr>
                <w:rFonts w:ascii="仿宋_GB2312" w:hAnsi="Times New Roman" w:eastAsia="仿宋_GB2312"/>
                <w:color w:val="000000"/>
                <w:sz w:val="20"/>
                <w:szCs w:val="20"/>
              </w:rPr>
            </w:pPr>
          </w:p>
        </w:tc>
        <w:tc>
          <w:tcPr>
            <w:tcW w:w="992" w:type="dxa"/>
            <w:gridSpan w:val="2"/>
            <w:tcBorders>
              <w:top w:val="single" w:color="auto" w:sz="4" w:space="0"/>
              <w:left w:val="single" w:color="auto" w:sz="4" w:space="0"/>
              <w:bottom w:val="single" w:color="auto" w:sz="4" w:space="0"/>
              <w:right w:val="single" w:color="auto" w:sz="4" w:space="0"/>
            </w:tcBorders>
          </w:tcPr>
          <w:p w14:paraId="4DB25861">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电话</w:t>
            </w:r>
          </w:p>
        </w:tc>
        <w:tc>
          <w:tcPr>
            <w:tcW w:w="2126" w:type="dxa"/>
            <w:gridSpan w:val="3"/>
            <w:tcBorders>
              <w:top w:val="single" w:color="auto" w:sz="4" w:space="0"/>
              <w:left w:val="single" w:color="auto" w:sz="4" w:space="0"/>
              <w:bottom w:val="single" w:color="auto" w:sz="4" w:space="0"/>
              <w:right w:val="single" w:color="auto" w:sz="4" w:space="0"/>
            </w:tcBorders>
          </w:tcPr>
          <w:p w14:paraId="7521BA45">
            <w:pPr>
              <w:rPr>
                <w:rFonts w:ascii="仿宋_GB2312" w:hAnsi="Times New Roman" w:eastAsia="仿宋_GB2312"/>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tcPr>
          <w:p w14:paraId="48776597">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邮件地址</w:t>
            </w:r>
          </w:p>
        </w:tc>
        <w:tc>
          <w:tcPr>
            <w:tcW w:w="2742" w:type="dxa"/>
            <w:gridSpan w:val="2"/>
            <w:tcBorders>
              <w:top w:val="single" w:color="auto" w:sz="4" w:space="0"/>
              <w:left w:val="single" w:color="auto" w:sz="4" w:space="0"/>
              <w:bottom w:val="single" w:color="auto" w:sz="4" w:space="0"/>
              <w:right w:val="single" w:color="auto" w:sz="4" w:space="0"/>
            </w:tcBorders>
          </w:tcPr>
          <w:p w14:paraId="5AEE0431">
            <w:pPr>
              <w:rPr>
                <w:rFonts w:ascii="仿宋_GB2312" w:hAnsi="Times New Roman" w:eastAsia="仿宋_GB2312"/>
                <w:color w:val="000000"/>
                <w:sz w:val="20"/>
                <w:szCs w:val="20"/>
              </w:rPr>
            </w:pPr>
          </w:p>
        </w:tc>
      </w:tr>
      <w:tr w14:paraId="6E9C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9"/>
            <w:tcBorders>
              <w:top w:val="single" w:color="auto" w:sz="4" w:space="0"/>
              <w:left w:val="single" w:color="auto" w:sz="4" w:space="0"/>
              <w:bottom w:val="single" w:color="auto" w:sz="4" w:space="0"/>
              <w:right w:val="single" w:color="auto" w:sz="4" w:space="0"/>
            </w:tcBorders>
            <w:shd w:val="clear" w:color="auto" w:fill="F2F2F2"/>
            <w:vAlign w:val="center"/>
          </w:tcPr>
          <w:p w14:paraId="50A6DD08">
            <w:pPr>
              <w:jc w:val="center"/>
              <w:rPr>
                <w:rFonts w:ascii="仿宋_GB2312" w:hAnsi="Times New Roman" w:eastAsia="仿宋_GB2312"/>
                <w:b/>
                <w:color w:val="000000"/>
                <w:sz w:val="20"/>
                <w:szCs w:val="20"/>
              </w:rPr>
            </w:pPr>
            <w:r>
              <w:rPr>
                <w:rFonts w:hint="eastAsia" w:ascii="仿宋_GB2312" w:hAnsi="Times New Roman" w:eastAsia="仿宋_GB2312"/>
                <w:b/>
                <w:color w:val="000000"/>
                <w:sz w:val="20"/>
                <w:szCs w:val="20"/>
              </w:rPr>
              <w:t>部门与岗位设置</w:t>
            </w:r>
          </w:p>
        </w:tc>
      </w:tr>
      <w:tr w14:paraId="6CF8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9"/>
            <w:tcBorders>
              <w:top w:val="single" w:color="auto" w:sz="4" w:space="0"/>
              <w:left w:val="single" w:color="auto" w:sz="4" w:space="0"/>
              <w:bottom w:val="single" w:color="auto" w:sz="4" w:space="0"/>
              <w:right w:val="single" w:color="auto" w:sz="4" w:space="0"/>
            </w:tcBorders>
            <w:vAlign w:val="center"/>
          </w:tcPr>
          <w:p w14:paraId="44E92DD9">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（部门名称1）工作职责包括：</w:t>
            </w:r>
          </w:p>
          <w:p w14:paraId="2A590859">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（1）</w:t>
            </w:r>
          </w:p>
          <w:p w14:paraId="2BFF391C">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（2）</w:t>
            </w:r>
          </w:p>
        </w:tc>
      </w:tr>
      <w:tr w14:paraId="194F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93" w:type="dxa"/>
            <w:gridSpan w:val="2"/>
            <w:tcBorders>
              <w:top w:val="single" w:color="auto" w:sz="4" w:space="0"/>
              <w:left w:val="single" w:color="auto" w:sz="4" w:space="0"/>
              <w:bottom w:val="single" w:color="auto" w:sz="4" w:space="0"/>
              <w:right w:val="single" w:color="auto" w:sz="4" w:space="0"/>
            </w:tcBorders>
            <w:vAlign w:val="center"/>
          </w:tcPr>
          <w:p w14:paraId="57D7A438">
            <w:pPr>
              <w:widowControl/>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岗位</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717B589A">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人员姓名</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19E5F551">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职责描述</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EC33DB4">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联系方式</w:t>
            </w:r>
          </w:p>
        </w:tc>
        <w:tc>
          <w:tcPr>
            <w:tcW w:w="2316" w:type="dxa"/>
            <w:tcBorders>
              <w:top w:val="single" w:color="auto" w:sz="4" w:space="0"/>
              <w:left w:val="single" w:color="auto" w:sz="4" w:space="0"/>
              <w:bottom w:val="single" w:color="auto" w:sz="4" w:space="0"/>
              <w:right w:val="single" w:color="auto" w:sz="4" w:space="0"/>
            </w:tcBorders>
            <w:vAlign w:val="center"/>
          </w:tcPr>
          <w:p w14:paraId="6784B20D">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工作履历</w:t>
            </w:r>
          </w:p>
        </w:tc>
      </w:tr>
      <w:tr w14:paraId="4E90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93" w:type="dxa"/>
            <w:gridSpan w:val="2"/>
            <w:tcBorders>
              <w:top w:val="single" w:color="auto" w:sz="4" w:space="0"/>
              <w:left w:val="single" w:color="auto" w:sz="4" w:space="0"/>
              <w:bottom w:val="single" w:color="auto" w:sz="4" w:space="0"/>
              <w:right w:val="single" w:color="auto" w:sz="4" w:space="0"/>
            </w:tcBorders>
            <w:vAlign w:val="center"/>
          </w:tcPr>
          <w:p w14:paraId="4ADC2F38">
            <w:pPr>
              <w:widowControl/>
              <w:jc w:val="center"/>
              <w:rPr>
                <w:rFonts w:ascii="仿宋_GB2312" w:hAnsi="Times New Roman" w:eastAsia="仿宋_GB2312"/>
                <w:i/>
                <w:color w:val="000000"/>
                <w:sz w:val="20"/>
                <w:szCs w:val="20"/>
              </w:rPr>
            </w:pPr>
            <w:r>
              <w:rPr>
                <w:rFonts w:hint="eastAsia" w:ascii="仿宋_GB2312" w:hAnsi="Times New Roman" w:eastAsia="仿宋_GB2312"/>
                <w:i/>
                <w:color w:val="000000"/>
                <w:sz w:val="20"/>
                <w:szCs w:val="20"/>
              </w:rPr>
              <w:t>（部门负责人）</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26EEC99">
            <w:pPr>
              <w:widowControl/>
              <w:jc w:val="left"/>
              <w:rPr>
                <w:rFonts w:cs="宋体"/>
                <w:color w:val="000000"/>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280CBC3">
            <w:pPr>
              <w:jc w:val="center"/>
              <w:rPr>
                <w:rFonts w:ascii="仿宋_GB2312" w:hAnsi="Times New Roman" w:eastAsia="仿宋_GB2312"/>
                <w:color w:val="000000"/>
                <w:sz w:val="20"/>
                <w:szCs w:val="20"/>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3BF544CB">
            <w:pPr>
              <w:jc w:val="left"/>
              <w:rPr>
                <w:rFonts w:ascii="仿宋_GB2312" w:hAnsi="Times New Roman" w:eastAsia="仿宋_GB2312"/>
                <w:i/>
                <w:color w:val="000000"/>
                <w:sz w:val="20"/>
                <w:szCs w:val="20"/>
              </w:rPr>
            </w:pPr>
            <w:r>
              <w:rPr>
                <w:rFonts w:hint="eastAsia" w:ascii="仿宋_GB2312" w:hAnsi="Times New Roman" w:eastAsia="仿宋_GB2312"/>
                <w:i/>
                <w:color w:val="000000"/>
                <w:sz w:val="20"/>
                <w:szCs w:val="20"/>
              </w:rPr>
              <w:t>（座机）</w:t>
            </w:r>
          </w:p>
          <w:p w14:paraId="49BB5DD3">
            <w:pPr>
              <w:jc w:val="left"/>
              <w:rPr>
                <w:rFonts w:ascii="仿宋_GB2312" w:hAnsi="Times New Roman" w:eastAsia="仿宋_GB2312"/>
                <w:i/>
                <w:color w:val="000000"/>
                <w:sz w:val="20"/>
                <w:szCs w:val="20"/>
              </w:rPr>
            </w:pPr>
            <w:r>
              <w:rPr>
                <w:rFonts w:hint="eastAsia" w:ascii="仿宋_GB2312" w:hAnsi="Times New Roman" w:eastAsia="仿宋_GB2312"/>
                <w:i/>
                <w:color w:val="000000"/>
                <w:sz w:val="20"/>
                <w:szCs w:val="20"/>
              </w:rPr>
              <w:t>（手机）</w:t>
            </w:r>
          </w:p>
          <w:p w14:paraId="6F0FFB99">
            <w:pPr>
              <w:jc w:val="left"/>
              <w:rPr>
                <w:rFonts w:ascii="仿宋_GB2312" w:hAnsi="Times New Roman" w:eastAsia="仿宋_GB2312"/>
                <w:color w:val="000000"/>
                <w:sz w:val="20"/>
                <w:szCs w:val="20"/>
              </w:rPr>
            </w:pPr>
            <w:r>
              <w:rPr>
                <w:rFonts w:hint="eastAsia" w:ascii="仿宋_GB2312" w:hAnsi="Times New Roman" w:eastAsia="仿宋_GB2312"/>
                <w:i/>
                <w:color w:val="000000"/>
                <w:sz w:val="20"/>
                <w:szCs w:val="20"/>
              </w:rPr>
              <w:t>（邮件）</w:t>
            </w:r>
          </w:p>
        </w:tc>
        <w:tc>
          <w:tcPr>
            <w:tcW w:w="2316" w:type="dxa"/>
            <w:tcBorders>
              <w:top w:val="single" w:color="auto" w:sz="4" w:space="0"/>
              <w:left w:val="single" w:color="auto" w:sz="4" w:space="0"/>
              <w:bottom w:val="single" w:color="auto" w:sz="4" w:space="0"/>
              <w:right w:val="single" w:color="auto" w:sz="4" w:space="0"/>
            </w:tcBorders>
            <w:vAlign w:val="center"/>
          </w:tcPr>
          <w:p w14:paraId="705E0089">
            <w:pPr>
              <w:jc w:val="left"/>
              <w:rPr>
                <w:rFonts w:ascii="仿宋_GB2312" w:hAnsi="Times New Roman" w:eastAsia="仿宋_GB2312"/>
                <w:i/>
                <w:color w:val="000000"/>
                <w:sz w:val="20"/>
                <w:szCs w:val="20"/>
              </w:rPr>
            </w:pPr>
            <w:r>
              <w:rPr>
                <w:rFonts w:hint="eastAsia" w:ascii="仿宋_GB2312" w:hAnsi="Times New Roman" w:eastAsia="仿宋_GB2312"/>
                <w:i/>
                <w:color w:val="000000"/>
                <w:sz w:val="20"/>
                <w:szCs w:val="20"/>
              </w:rPr>
              <w:t>（年份-单位-职责）</w:t>
            </w:r>
          </w:p>
        </w:tc>
      </w:tr>
      <w:tr w14:paraId="6645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93" w:type="dxa"/>
            <w:gridSpan w:val="2"/>
            <w:tcBorders>
              <w:top w:val="single" w:color="auto" w:sz="4" w:space="0"/>
              <w:left w:val="single" w:color="auto" w:sz="4" w:space="0"/>
              <w:bottom w:val="single" w:color="auto" w:sz="4" w:space="0"/>
              <w:right w:val="single" w:color="auto" w:sz="4" w:space="0"/>
            </w:tcBorders>
            <w:vAlign w:val="center"/>
          </w:tcPr>
          <w:p w14:paraId="6FFA136D">
            <w:pPr>
              <w:widowControl/>
              <w:jc w:val="left"/>
              <w:rPr>
                <w:rFonts w:cs="宋体"/>
                <w:color w:val="000000"/>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2AB5AAB">
            <w:pPr>
              <w:widowControl/>
              <w:jc w:val="left"/>
              <w:rPr>
                <w:rFonts w:cs="宋体"/>
                <w:color w:val="000000"/>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20C8E0BD">
            <w:pPr>
              <w:jc w:val="center"/>
              <w:rPr>
                <w:rFonts w:ascii="仿宋_GB2312" w:hAnsi="Times New Roman" w:eastAsia="仿宋_GB2312"/>
                <w:color w:val="000000"/>
                <w:sz w:val="20"/>
                <w:szCs w:val="20"/>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BD4F551">
            <w:pPr>
              <w:widowControl/>
              <w:jc w:val="left"/>
              <w:rPr>
                <w:rFonts w:cs="宋体"/>
                <w:color w:val="000000"/>
              </w:rPr>
            </w:pPr>
          </w:p>
        </w:tc>
        <w:tc>
          <w:tcPr>
            <w:tcW w:w="2316" w:type="dxa"/>
            <w:tcBorders>
              <w:top w:val="single" w:color="auto" w:sz="4" w:space="0"/>
              <w:left w:val="single" w:color="auto" w:sz="4" w:space="0"/>
              <w:bottom w:val="single" w:color="auto" w:sz="4" w:space="0"/>
              <w:right w:val="single" w:color="auto" w:sz="4" w:space="0"/>
            </w:tcBorders>
            <w:vAlign w:val="center"/>
          </w:tcPr>
          <w:p w14:paraId="24DF4DED">
            <w:pPr>
              <w:jc w:val="center"/>
              <w:rPr>
                <w:rFonts w:ascii="仿宋_GB2312" w:hAnsi="Times New Roman" w:eastAsia="仿宋_GB2312"/>
                <w:color w:val="000000"/>
                <w:sz w:val="20"/>
                <w:szCs w:val="20"/>
              </w:rPr>
            </w:pPr>
          </w:p>
        </w:tc>
      </w:tr>
      <w:tr w14:paraId="4AE3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93" w:type="dxa"/>
            <w:gridSpan w:val="2"/>
            <w:tcBorders>
              <w:top w:val="single" w:color="auto" w:sz="4" w:space="0"/>
              <w:left w:val="single" w:color="auto" w:sz="4" w:space="0"/>
              <w:bottom w:val="single" w:color="auto" w:sz="4" w:space="0"/>
              <w:right w:val="single" w:color="auto" w:sz="4" w:space="0"/>
            </w:tcBorders>
            <w:vAlign w:val="center"/>
          </w:tcPr>
          <w:p w14:paraId="22C67636">
            <w:pPr>
              <w:widowControl/>
              <w:jc w:val="left"/>
              <w:rPr>
                <w:rFonts w:cs="宋体"/>
                <w:color w:val="000000"/>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38105767">
            <w:pPr>
              <w:widowControl/>
              <w:jc w:val="left"/>
              <w:rPr>
                <w:rFonts w:cs="宋体"/>
                <w:color w:val="000000"/>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2548271A">
            <w:pPr>
              <w:jc w:val="center"/>
              <w:rPr>
                <w:rFonts w:ascii="仿宋_GB2312" w:hAnsi="Times New Roman" w:eastAsia="仿宋_GB2312"/>
                <w:color w:val="000000"/>
                <w:sz w:val="20"/>
                <w:szCs w:val="20"/>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D0E9F2B">
            <w:pPr>
              <w:widowControl/>
              <w:jc w:val="left"/>
              <w:rPr>
                <w:rFonts w:cs="宋体"/>
                <w:color w:val="000000"/>
              </w:rPr>
            </w:pPr>
          </w:p>
        </w:tc>
        <w:tc>
          <w:tcPr>
            <w:tcW w:w="2316" w:type="dxa"/>
            <w:tcBorders>
              <w:top w:val="single" w:color="auto" w:sz="4" w:space="0"/>
              <w:left w:val="single" w:color="auto" w:sz="4" w:space="0"/>
              <w:bottom w:val="single" w:color="auto" w:sz="4" w:space="0"/>
              <w:right w:val="single" w:color="auto" w:sz="4" w:space="0"/>
            </w:tcBorders>
            <w:vAlign w:val="center"/>
          </w:tcPr>
          <w:p w14:paraId="7E663D88">
            <w:pPr>
              <w:jc w:val="center"/>
              <w:rPr>
                <w:rFonts w:ascii="仿宋_GB2312" w:hAnsi="Times New Roman" w:eastAsia="仿宋_GB2312"/>
                <w:color w:val="000000"/>
                <w:sz w:val="20"/>
                <w:szCs w:val="20"/>
              </w:rPr>
            </w:pPr>
          </w:p>
        </w:tc>
      </w:tr>
      <w:tr w14:paraId="5F86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9"/>
            <w:tcBorders>
              <w:top w:val="single" w:color="auto" w:sz="4" w:space="0"/>
              <w:left w:val="single" w:color="auto" w:sz="4" w:space="0"/>
              <w:bottom w:val="single" w:color="auto" w:sz="4" w:space="0"/>
              <w:right w:val="single" w:color="auto" w:sz="4" w:space="0"/>
            </w:tcBorders>
            <w:vAlign w:val="center"/>
          </w:tcPr>
          <w:p w14:paraId="0C09B9D5">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（部门名称2）工作职责包括：</w:t>
            </w:r>
          </w:p>
          <w:p w14:paraId="0FEBB08D">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（1）</w:t>
            </w:r>
          </w:p>
          <w:p w14:paraId="0F738E23">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（2）</w:t>
            </w:r>
          </w:p>
        </w:tc>
      </w:tr>
      <w:tr w14:paraId="29EE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93" w:type="dxa"/>
            <w:gridSpan w:val="2"/>
            <w:tcBorders>
              <w:top w:val="single" w:color="auto" w:sz="4" w:space="0"/>
              <w:left w:val="single" w:color="auto" w:sz="4" w:space="0"/>
              <w:bottom w:val="single" w:color="auto" w:sz="4" w:space="0"/>
              <w:right w:val="single" w:color="auto" w:sz="4" w:space="0"/>
            </w:tcBorders>
            <w:vAlign w:val="center"/>
          </w:tcPr>
          <w:p w14:paraId="1EEDCCA4">
            <w:pPr>
              <w:widowControl/>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岗位</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3A91532">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人员姓名</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198C73EE">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职责描述</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32A6F78D">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联系方式</w:t>
            </w:r>
          </w:p>
        </w:tc>
        <w:tc>
          <w:tcPr>
            <w:tcW w:w="2316" w:type="dxa"/>
            <w:tcBorders>
              <w:top w:val="single" w:color="auto" w:sz="4" w:space="0"/>
              <w:left w:val="single" w:color="auto" w:sz="4" w:space="0"/>
              <w:bottom w:val="single" w:color="auto" w:sz="4" w:space="0"/>
              <w:right w:val="single" w:color="auto" w:sz="4" w:space="0"/>
            </w:tcBorders>
            <w:vAlign w:val="center"/>
          </w:tcPr>
          <w:p w14:paraId="50AD4AE9">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工作履历</w:t>
            </w:r>
          </w:p>
        </w:tc>
      </w:tr>
      <w:tr w14:paraId="5D4A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93" w:type="dxa"/>
            <w:gridSpan w:val="2"/>
            <w:tcBorders>
              <w:top w:val="single" w:color="auto" w:sz="4" w:space="0"/>
              <w:left w:val="single" w:color="auto" w:sz="4" w:space="0"/>
              <w:bottom w:val="single" w:color="auto" w:sz="4" w:space="0"/>
              <w:right w:val="single" w:color="auto" w:sz="4" w:space="0"/>
            </w:tcBorders>
            <w:vAlign w:val="center"/>
          </w:tcPr>
          <w:p w14:paraId="73B8B3B3">
            <w:pPr>
              <w:widowControl/>
              <w:jc w:val="left"/>
              <w:rPr>
                <w:rFonts w:cs="宋体"/>
                <w:color w:val="000000"/>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653053A">
            <w:pPr>
              <w:widowControl/>
              <w:jc w:val="left"/>
              <w:rPr>
                <w:rFonts w:cs="宋体"/>
                <w:color w:val="000000"/>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E61140D">
            <w:pPr>
              <w:jc w:val="center"/>
              <w:rPr>
                <w:rFonts w:ascii="仿宋_GB2312" w:hAnsi="Times New Roman" w:eastAsia="仿宋_GB2312"/>
                <w:color w:val="000000"/>
                <w:sz w:val="20"/>
                <w:szCs w:val="20"/>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C85318F">
            <w:pPr>
              <w:widowControl/>
              <w:jc w:val="left"/>
              <w:rPr>
                <w:rFonts w:cs="宋体"/>
                <w:color w:val="000000"/>
              </w:rPr>
            </w:pPr>
          </w:p>
        </w:tc>
        <w:tc>
          <w:tcPr>
            <w:tcW w:w="2316" w:type="dxa"/>
            <w:tcBorders>
              <w:top w:val="single" w:color="auto" w:sz="4" w:space="0"/>
              <w:left w:val="single" w:color="auto" w:sz="4" w:space="0"/>
              <w:bottom w:val="single" w:color="auto" w:sz="4" w:space="0"/>
              <w:right w:val="single" w:color="auto" w:sz="4" w:space="0"/>
            </w:tcBorders>
            <w:vAlign w:val="center"/>
          </w:tcPr>
          <w:p w14:paraId="7BD16477">
            <w:pPr>
              <w:jc w:val="center"/>
              <w:rPr>
                <w:rFonts w:ascii="仿宋_GB2312" w:hAnsi="Times New Roman" w:eastAsia="仿宋_GB2312"/>
                <w:color w:val="000000"/>
                <w:sz w:val="20"/>
                <w:szCs w:val="20"/>
              </w:rPr>
            </w:pPr>
          </w:p>
        </w:tc>
      </w:tr>
      <w:tr w14:paraId="40F0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9"/>
            <w:tcBorders>
              <w:top w:val="single" w:color="auto" w:sz="4" w:space="0"/>
              <w:left w:val="single" w:color="auto" w:sz="4" w:space="0"/>
              <w:bottom w:val="single" w:color="auto" w:sz="4" w:space="0"/>
              <w:right w:val="single" w:color="auto" w:sz="4" w:space="0"/>
            </w:tcBorders>
            <w:vAlign w:val="center"/>
          </w:tcPr>
          <w:p w14:paraId="726DF5AE">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（部门名称3）工作职责包括：</w:t>
            </w:r>
          </w:p>
          <w:p w14:paraId="14378882">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（1）</w:t>
            </w:r>
          </w:p>
          <w:p w14:paraId="779559CE">
            <w:pPr>
              <w:rPr>
                <w:rFonts w:ascii="仿宋_GB2312" w:hAnsi="Times New Roman" w:eastAsia="仿宋_GB2312"/>
                <w:color w:val="000000"/>
                <w:sz w:val="20"/>
                <w:szCs w:val="20"/>
              </w:rPr>
            </w:pPr>
            <w:r>
              <w:rPr>
                <w:rFonts w:hint="eastAsia" w:ascii="仿宋_GB2312" w:hAnsi="Times New Roman" w:eastAsia="仿宋_GB2312"/>
                <w:color w:val="000000"/>
                <w:sz w:val="20"/>
                <w:szCs w:val="20"/>
              </w:rPr>
              <w:t>（2）</w:t>
            </w:r>
          </w:p>
        </w:tc>
      </w:tr>
      <w:tr w14:paraId="1391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93" w:type="dxa"/>
            <w:gridSpan w:val="2"/>
            <w:tcBorders>
              <w:top w:val="single" w:color="auto" w:sz="4" w:space="0"/>
              <w:left w:val="single" w:color="auto" w:sz="4" w:space="0"/>
              <w:bottom w:val="single" w:color="auto" w:sz="4" w:space="0"/>
              <w:right w:val="single" w:color="auto" w:sz="4" w:space="0"/>
            </w:tcBorders>
            <w:vAlign w:val="center"/>
          </w:tcPr>
          <w:p w14:paraId="02B371CD">
            <w:pPr>
              <w:widowControl/>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岗位</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FB244F9">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人员姓名</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09DE838A">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职责描述</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684ADD7">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联系方式</w:t>
            </w:r>
          </w:p>
        </w:tc>
        <w:tc>
          <w:tcPr>
            <w:tcW w:w="2316" w:type="dxa"/>
            <w:tcBorders>
              <w:top w:val="single" w:color="auto" w:sz="4" w:space="0"/>
              <w:left w:val="single" w:color="auto" w:sz="4" w:space="0"/>
              <w:bottom w:val="single" w:color="auto" w:sz="4" w:space="0"/>
              <w:right w:val="single" w:color="auto" w:sz="4" w:space="0"/>
            </w:tcBorders>
            <w:vAlign w:val="center"/>
          </w:tcPr>
          <w:p w14:paraId="183E153D">
            <w:pPr>
              <w:jc w:val="center"/>
              <w:rPr>
                <w:rFonts w:ascii="仿宋_GB2312" w:hAnsi="Times New Roman" w:eastAsia="仿宋_GB2312"/>
                <w:color w:val="000000"/>
                <w:sz w:val="20"/>
                <w:szCs w:val="20"/>
              </w:rPr>
            </w:pPr>
            <w:r>
              <w:rPr>
                <w:rFonts w:hint="eastAsia" w:ascii="仿宋_GB2312" w:hAnsi="Times New Roman" w:eastAsia="仿宋_GB2312"/>
                <w:color w:val="000000"/>
                <w:sz w:val="20"/>
                <w:szCs w:val="20"/>
              </w:rPr>
              <w:t>工作履历</w:t>
            </w:r>
          </w:p>
        </w:tc>
      </w:tr>
      <w:tr w14:paraId="3521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93" w:type="dxa"/>
            <w:gridSpan w:val="2"/>
            <w:tcBorders>
              <w:top w:val="single" w:color="auto" w:sz="4" w:space="0"/>
              <w:left w:val="single" w:color="auto" w:sz="4" w:space="0"/>
              <w:bottom w:val="single" w:color="auto" w:sz="4" w:space="0"/>
              <w:right w:val="single" w:color="auto" w:sz="4" w:space="0"/>
            </w:tcBorders>
            <w:vAlign w:val="center"/>
          </w:tcPr>
          <w:p w14:paraId="545196BC">
            <w:pPr>
              <w:widowControl/>
              <w:jc w:val="left"/>
              <w:rPr>
                <w:rFonts w:cs="宋体"/>
                <w:color w:val="000000"/>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57360A1F">
            <w:pPr>
              <w:widowControl/>
              <w:jc w:val="left"/>
              <w:rPr>
                <w:rFonts w:cs="宋体"/>
                <w:color w:val="000000"/>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7128C6B3">
            <w:pPr>
              <w:jc w:val="center"/>
              <w:rPr>
                <w:rFonts w:ascii="仿宋_GB2312" w:hAnsi="Times New Roman" w:eastAsia="仿宋_GB2312"/>
                <w:color w:val="000000"/>
                <w:sz w:val="20"/>
                <w:szCs w:val="20"/>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190C8B9B">
            <w:pPr>
              <w:widowControl/>
              <w:jc w:val="left"/>
              <w:rPr>
                <w:rFonts w:cs="宋体"/>
                <w:color w:val="000000"/>
              </w:rPr>
            </w:pPr>
          </w:p>
        </w:tc>
        <w:tc>
          <w:tcPr>
            <w:tcW w:w="2316" w:type="dxa"/>
            <w:tcBorders>
              <w:top w:val="single" w:color="auto" w:sz="4" w:space="0"/>
              <w:left w:val="single" w:color="auto" w:sz="4" w:space="0"/>
              <w:bottom w:val="single" w:color="auto" w:sz="4" w:space="0"/>
              <w:right w:val="single" w:color="auto" w:sz="4" w:space="0"/>
            </w:tcBorders>
            <w:vAlign w:val="center"/>
          </w:tcPr>
          <w:p w14:paraId="4301B51A">
            <w:pPr>
              <w:jc w:val="center"/>
              <w:rPr>
                <w:rFonts w:ascii="仿宋_GB2312" w:hAnsi="Times New Roman" w:eastAsia="仿宋_GB2312"/>
                <w:color w:val="000000"/>
                <w:sz w:val="20"/>
                <w:szCs w:val="20"/>
              </w:rPr>
            </w:pPr>
          </w:p>
        </w:tc>
      </w:tr>
    </w:tbl>
    <w:p w14:paraId="4F14649D">
      <w:pPr>
        <w:widowControl/>
        <w:jc w:val="left"/>
        <w:rPr>
          <w:rFonts w:ascii="仿宋_GB2312" w:hAnsi="黑体" w:eastAsia="仿宋_GB2312"/>
          <w:color w:val="000000"/>
          <w:sz w:val="20"/>
          <w:szCs w:val="20"/>
        </w:rPr>
      </w:pPr>
      <w:r>
        <w:rPr>
          <w:rFonts w:hint="eastAsia" w:ascii="仿宋_GB2312" w:hAnsi="黑体" w:eastAsia="仿宋_GB2312"/>
          <w:color w:val="000000"/>
          <w:sz w:val="20"/>
          <w:szCs w:val="20"/>
        </w:rPr>
        <w:t>备注：工作履历一栏中，期权经纪业务部门负责人必须详细填写工作履历。若经纪业务负责人、经纪业务联络人、部门负责人有变更的，须及时向本所报备。</w:t>
      </w:r>
    </w:p>
    <w:p w14:paraId="0D4CB016">
      <w:pPr>
        <w:widowControl/>
        <w:jc w:val="left"/>
        <w:rPr>
          <w:rFonts w:ascii="仿宋_GB2312" w:hAnsi="黑体" w:eastAsia="仿宋_GB2312"/>
          <w:color w:val="000000"/>
          <w:sz w:val="20"/>
          <w:szCs w:val="20"/>
        </w:rPr>
      </w:pPr>
    </w:p>
    <w:p w14:paraId="2189E46E">
      <w:pPr>
        <w:widowControl/>
        <w:jc w:val="left"/>
        <w:rPr>
          <w:rFonts w:ascii="仿宋_GB2312" w:hAnsi="黑体" w:eastAsia="仿宋_GB2312"/>
          <w:color w:val="000000"/>
          <w:sz w:val="20"/>
          <w:szCs w:val="20"/>
        </w:rPr>
      </w:pPr>
    </w:p>
    <w:p w14:paraId="7F6933B2">
      <w:pPr>
        <w:pStyle w:val="4"/>
        <w:jc w:val="both"/>
        <w:rPr>
          <w:rFonts w:hint="eastAsia"/>
          <w:b w:val="0"/>
          <w:bCs w:val="0"/>
        </w:rPr>
      </w:pPr>
      <w:bookmarkStart w:id="580" w:name="_Toc23947040"/>
      <w:bookmarkStart w:id="581" w:name="_Toc14671"/>
      <w:r>
        <w:rPr>
          <w:rFonts w:hint="default" w:ascii="Times New Roman" w:hAnsi="Times New Roman"/>
          <w:b w:val="0"/>
          <w:bCs w:val="0"/>
        </w:rPr>
        <w:t>附件</w:t>
      </w:r>
      <w:r>
        <w:rPr>
          <w:rFonts w:hint="eastAsia" w:ascii="Times New Roman" w:hAnsi="Times New Roman"/>
          <w:b w:val="0"/>
          <w:bCs w:val="0"/>
          <w:lang w:val="en-US" w:eastAsia="zh-CN"/>
        </w:rPr>
        <w:t>三</w:t>
      </w:r>
    </w:p>
    <w:p w14:paraId="0DEB9846">
      <w:pPr>
        <w:pStyle w:val="5"/>
        <w:ind w:firstLine="0" w:firstLineChars="0"/>
        <w:jc w:val="center"/>
      </w:pPr>
      <w:r>
        <w:rPr>
          <w:rFonts w:hint="eastAsia"/>
        </w:rPr>
        <w:t>适当性综合评估样表</w:t>
      </w:r>
      <w:bookmarkEnd w:id="580"/>
      <w:bookmarkEnd w:id="581"/>
    </w:p>
    <w:p w14:paraId="4119E789">
      <w:pPr>
        <w:pStyle w:val="28"/>
        <w:snapToGrid w:val="0"/>
        <w:spacing w:line="360" w:lineRule="auto"/>
        <w:ind w:firstLine="480" w:firstLineChars="200"/>
        <w:rPr>
          <w:rFonts w:ascii="仿宋_GB2312" w:hAnsi="仿宋" w:eastAsia="仿宋_GB2312"/>
        </w:rPr>
      </w:pPr>
      <w:r>
        <w:rPr>
          <w:rFonts w:hint="eastAsia" w:ascii="仿宋_GB2312" w:hAnsi="仿宋" w:eastAsia="仿宋_GB2312"/>
        </w:rPr>
        <w:t>本样表仅供各期权经营机构参考，各期权经营机构可以根据自身实际情况和投资者特点，制定各自的适当性综合评估表。</w:t>
      </w:r>
    </w:p>
    <w:tbl>
      <w:tblPr>
        <w:tblStyle w:val="31"/>
        <w:tblW w:w="0" w:type="auto"/>
        <w:tblInd w:w="96" w:type="dxa"/>
        <w:tblLayout w:type="fixed"/>
        <w:tblCellMar>
          <w:top w:w="0" w:type="dxa"/>
          <w:left w:w="108" w:type="dxa"/>
          <w:bottom w:w="0" w:type="dxa"/>
          <w:right w:w="108" w:type="dxa"/>
        </w:tblCellMar>
      </w:tblPr>
      <w:tblGrid>
        <w:gridCol w:w="4800"/>
        <w:gridCol w:w="2200"/>
        <w:gridCol w:w="1600"/>
      </w:tblGrid>
      <w:tr w14:paraId="3A6CD548">
        <w:tblPrEx>
          <w:tblCellMar>
            <w:top w:w="0" w:type="dxa"/>
            <w:left w:w="108" w:type="dxa"/>
            <w:bottom w:w="0" w:type="dxa"/>
            <w:right w:w="108" w:type="dxa"/>
          </w:tblCellMar>
        </w:tblPrEx>
        <w:trPr>
          <w:trHeight w:val="510"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4F6B6EA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指标项目</w:t>
            </w:r>
          </w:p>
        </w:tc>
        <w:tc>
          <w:tcPr>
            <w:tcW w:w="1600" w:type="dxa"/>
            <w:tcBorders>
              <w:top w:val="single" w:color="auto" w:sz="4" w:space="0"/>
              <w:left w:val="nil"/>
              <w:bottom w:val="single" w:color="auto" w:sz="4" w:space="0"/>
              <w:right w:val="single" w:color="auto" w:sz="4" w:space="0"/>
            </w:tcBorders>
          </w:tcPr>
          <w:p w14:paraId="24134BA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是否达到要求（勾选）</w:t>
            </w:r>
          </w:p>
        </w:tc>
      </w:tr>
      <w:tr w14:paraId="7EB2BAD4">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63B79A83">
            <w:pPr>
              <w:widowControl/>
              <w:jc w:val="left"/>
              <w:rPr>
                <w:rFonts w:ascii="宋体" w:hAnsi="宋体" w:cs="宋体"/>
                <w:b/>
                <w:bCs/>
                <w:color w:val="000000"/>
                <w:kern w:val="0"/>
                <w:sz w:val="22"/>
              </w:rPr>
            </w:pPr>
            <w:r>
              <w:rPr>
                <w:rFonts w:hint="eastAsia" w:ascii="宋体" w:hAnsi="宋体" w:cs="宋体"/>
                <w:b/>
                <w:bCs/>
                <w:color w:val="000000"/>
                <w:kern w:val="0"/>
                <w:sz w:val="22"/>
              </w:rPr>
              <w:t>一、相关投资经历</w:t>
            </w:r>
          </w:p>
        </w:tc>
      </w:tr>
      <w:tr w14:paraId="65C60641">
        <w:tblPrEx>
          <w:tblCellMar>
            <w:top w:w="0" w:type="dxa"/>
            <w:left w:w="108" w:type="dxa"/>
            <w:bottom w:w="0" w:type="dxa"/>
            <w:right w:w="108" w:type="dxa"/>
          </w:tblCellMar>
        </w:tblPrEx>
        <w:trPr>
          <w:trHeight w:val="270"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1DD9794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具备拟申请交易权限要求的期权模拟交易经历</w:t>
            </w:r>
          </w:p>
        </w:tc>
        <w:tc>
          <w:tcPr>
            <w:tcW w:w="1600" w:type="dxa"/>
            <w:tcBorders>
              <w:top w:val="nil"/>
              <w:left w:val="nil"/>
              <w:bottom w:val="single" w:color="auto" w:sz="4" w:space="0"/>
              <w:right w:val="single" w:color="auto" w:sz="4" w:space="0"/>
            </w:tcBorders>
            <w:vAlign w:val="center"/>
          </w:tcPr>
          <w:p w14:paraId="2CFA62A1">
            <w:pPr>
              <w:widowControl/>
              <w:jc w:val="left"/>
              <w:rPr>
                <w:rFonts w:ascii="宋体" w:hAnsi="宋体" w:cs="宋体"/>
                <w:color w:val="000000"/>
                <w:kern w:val="0"/>
                <w:sz w:val="22"/>
              </w:rPr>
            </w:pPr>
            <w:r>
              <w:rPr>
                <w:rFonts w:hint="eastAsia" w:ascii="宋体" w:hAnsi="宋体" w:cs="宋体"/>
                <w:color w:val="000000"/>
                <w:kern w:val="0"/>
                <w:sz w:val="22"/>
              </w:rPr>
              <w:t>　</w:t>
            </w:r>
          </w:p>
        </w:tc>
      </w:tr>
      <w:tr w14:paraId="3535D745">
        <w:tblPrEx>
          <w:tblCellMar>
            <w:top w:w="0" w:type="dxa"/>
            <w:left w:w="108" w:type="dxa"/>
            <w:bottom w:w="0" w:type="dxa"/>
            <w:right w:w="108" w:type="dxa"/>
          </w:tblCellMar>
        </w:tblPrEx>
        <w:trPr>
          <w:trHeight w:val="270"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736A821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沪市A股账户开立合计6个月以上</w:t>
            </w:r>
          </w:p>
        </w:tc>
        <w:tc>
          <w:tcPr>
            <w:tcW w:w="1600" w:type="dxa"/>
            <w:tcBorders>
              <w:top w:val="nil"/>
              <w:left w:val="nil"/>
              <w:bottom w:val="single" w:color="auto" w:sz="4" w:space="0"/>
              <w:right w:val="single" w:color="auto" w:sz="4" w:space="0"/>
            </w:tcBorders>
            <w:vAlign w:val="center"/>
          </w:tcPr>
          <w:p w14:paraId="4DA10AA0">
            <w:pPr>
              <w:widowControl/>
              <w:jc w:val="left"/>
              <w:rPr>
                <w:rFonts w:ascii="宋体" w:hAnsi="宋体" w:cs="宋体"/>
                <w:color w:val="000000"/>
                <w:kern w:val="0"/>
                <w:sz w:val="22"/>
              </w:rPr>
            </w:pPr>
            <w:r>
              <w:rPr>
                <w:rFonts w:hint="eastAsia" w:ascii="宋体" w:hAnsi="宋体" w:cs="宋体"/>
                <w:color w:val="000000"/>
                <w:kern w:val="0"/>
                <w:sz w:val="22"/>
              </w:rPr>
              <w:t>　</w:t>
            </w:r>
          </w:p>
        </w:tc>
      </w:tr>
      <w:tr w14:paraId="0CF31081">
        <w:tblPrEx>
          <w:tblCellMar>
            <w:top w:w="0" w:type="dxa"/>
            <w:left w:w="108" w:type="dxa"/>
            <w:bottom w:w="0" w:type="dxa"/>
            <w:right w:w="108" w:type="dxa"/>
          </w:tblCellMar>
        </w:tblPrEx>
        <w:trPr>
          <w:trHeight w:val="270"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13E25FF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具备融资融券业务参与资格或者金融期货交易经历</w:t>
            </w:r>
          </w:p>
        </w:tc>
        <w:tc>
          <w:tcPr>
            <w:tcW w:w="1600" w:type="dxa"/>
            <w:tcBorders>
              <w:top w:val="nil"/>
              <w:left w:val="nil"/>
              <w:bottom w:val="single" w:color="auto" w:sz="4" w:space="0"/>
              <w:right w:val="single" w:color="auto" w:sz="4" w:space="0"/>
            </w:tcBorders>
            <w:vAlign w:val="center"/>
          </w:tcPr>
          <w:p w14:paraId="75542E84">
            <w:pPr>
              <w:widowControl/>
              <w:jc w:val="left"/>
              <w:rPr>
                <w:rFonts w:ascii="宋体" w:hAnsi="宋体" w:cs="宋体"/>
                <w:color w:val="000000"/>
                <w:kern w:val="0"/>
                <w:sz w:val="22"/>
              </w:rPr>
            </w:pPr>
            <w:r>
              <w:rPr>
                <w:rFonts w:hint="eastAsia" w:ascii="宋体" w:hAnsi="宋体" w:cs="宋体"/>
                <w:color w:val="000000"/>
                <w:kern w:val="0"/>
                <w:sz w:val="22"/>
              </w:rPr>
              <w:t>　</w:t>
            </w:r>
          </w:p>
        </w:tc>
      </w:tr>
      <w:tr w14:paraId="38381BCE">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20921941">
            <w:pPr>
              <w:widowControl/>
              <w:jc w:val="left"/>
              <w:rPr>
                <w:rFonts w:ascii="宋体" w:hAnsi="宋体" w:cs="宋体"/>
                <w:b/>
                <w:bCs/>
                <w:color w:val="000000"/>
                <w:kern w:val="0"/>
                <w:sz w:val="22"/>
              </w:rPr>
            </w:pPr>
            <w:r>
              <w:rPr>
                <w:rFonts w:hint="eastAsia" w:ascii="宋体" w:hAnsi="宋体" w:cs="宋体"/>
                <w:b/>
                <w:bCs/>
                <w:color w:val="000000"/>
                <w:kern w:val="0"/>
                <w:sz w:val="22"/>
              </w:rPr>
              <w:t>二、金融类资产状况</w:t>
            </w:r>
          </w:p>
        </w:tc>
      </w:tr>
      <w:tr w14:paraId="4BE3B3FC">
        <w:tblPrEx>
          <w:tblCellMar>
            <w:top w:w="0" w:type="dxa"/>
            <w:left w:w="108" w:type="dxa"/>
            <w:bottom w:w="0" w:type="dxa"/>
            <w:right w:w="108" w:type="dxa"/>
          </w:tblCellMar>
        </w:tblPrEx>
        <w:trPr>
          <w:trHeight w:val="585" w:hRule="atLeast"/>
        </w:trPr>
        <w:tc>
          <w:tcPr>
            <w:tcW w:w="7000" w:type="dxa"/>
            <w:gridSpan w:val="2"/>
            <w:tcBorders>
              <w:top w:val="single" w:color="auto" w:sz="4" w:space="0"/>
              <w:left w:val="single" w:color="auto" w:sz="4" w:space="0"/>
              <w:bottom w:val="single" w:color="auto" w:sz="4" w:space="0"/>
              <w:right w:val="single" w:color="000000" w:sz="4" w:space="0"/>
            </w:tcBorders>
            <w:vAlign w:val="center"/>
          </w:tcPr>
          <w:p w14:paraId="799198E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证券市值与资金账户可用余额（不含融资融券客户信用证券账户内的证券市值和信用资金账户内的资金）人民币50万元以上</w:t>
            </w:r>
          </w:p>
        </w:tc>
        <w:tc>
          <w:tcPr>
            <w:tcW w:w="1600" w:type="dxa"/>
            <w:tcBorders>
              <w:top w:val="nil"/>
              <w:left w:val="nil"/>
              <w:bottom w:val="single" w:color="auto" w:sz="4" w:space="0"/>
              <w:right w:val="single" w:color="auto" w:sz="4" w:space="0"/>
            </w:tcBorders>
            <w:vAlign w:val="center"/>
          </w:tcPr>
          <w:p w14:paraId="5F464891">
            <w:pPr>
              <w:widowControl/>
              <w:jc w:val="left"/>
              <w:rPr>
                <w:rFonts w:ascii="宋体" w:hAnsi="宋体" w:cs="宋体"/>
                <w:b/>
                <w:bCs/>
                <w:color w:val="000000"/>
                <w:kern w:val="0"/>
                <w:sz w:val="22"/>
              </w:rPr>
            </w:pPr>
            <w:r>
              <w:rPr>
                <w:rFonts w:hint="eastAsia" w:ascii="宋体" w:hAnsi="宋体" w:cs="宋体"/>
                <w:b/>
                <w:bCs/>
                <w:color w:val="000000"/>
                <w:kern w:val="0"/>
                <w:sz w:val="22"/>
              </w:rPr>
              <w:t>　</w:t>
            </w:r>
          </w:p>
        </w:tc>
      </w:tr>
      <w:tr w14:paraId="43F1523B">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21563623">
            <w:pPr>
              <w:widowControl/>
              <w:jc w:val="left"/>
              <w:rPr>
                <w:rFonts w:ascii="宋体" w:hAnsi="宋体" w:cs="宋体"/>
                <w:b/>
                <w:bCs/>
                <w:color w:val="000000"/>
                <w:kern w:val="0"/>
                <w:sz w:val="22"/>
              </w:rPr>
            </w:pPr>
            <w:r>
              <w:rPr>
                <w:rFonts w:hint="eastAsia" w:ascii="宋体" w:hAnsi="宋体" w:cs="宋体"/>
                <w:b/>
                <w:bCs/>
                <w:color w:val="000000"/>
                <w:kern w:val="0"/>
                <w:sz w:val="22"/>
              </w:rPr>
              <w:t>三、期权基础知识水平</w:t>
            </w:r>
          </w:p>
        </w:tc>
      </w:tr>
      <w:tr w14:paraId="4A0CE511">
        <w:tblPrEx>
          <w:tblCellMar>
            <w:top w:w="0" w:type="dxa"/>
            <w:left w:w="108" w:type="dxa"/>
            <w:bottom w:w="0" w:type="dxa"/>
            <w:right w:w="108" w:type="dxa"/>
          </w:tblCellMar>
        </w:tblPrEx>
        <w:trPr>
          <w:trHeight w:val="270" w:hRule="atLeast"/>
        </w:trPr>
        <w:tc>
          <w:tcPr>
            <w:tcW w:w="4800" w:type="dxa"/>
            <w:vMerge w:val="restart"/>
            <w:tcBorders>
              <w:top w:val="nil"/>
              <w:left w:val="single" w:color="auto" w:sz="4" w:space="0"/>
              <w:bottom w:val="single" w:color="000000" w:sz="4" w:space="0"/>
              <w:right w:val="single" w:color="auto" w:sz="4" w:space="0"/>
            </w:tcBorders>
            <w:vAlign w:val="center"/>
          </w:tcPr>
          <w:p w14:paraId="6692969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期权知识测试成绩</w:t>
            </w:r>
          </w:p>
        </w:tc>
        <w:tc>
          <w:tcPr>
            <w:tcW w:w="2200" w:type="dxa"/>
            <w:tcBorders>
              <w:top w:val="nil"/>
              <w:left w:val="nil"/>
              <w:bottom w:val="single" w:color="auto" w:sz="4" w:space="0"/>
              <w:right w:val="single" w:color="auto" w:sz="4" w:space="0"/>
            </w:tcBorders>
            <w:vAlign w:val="center"/>
          </w:tcPr>
          <w:p w14:paraId="4625AFB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一级知识测试通过</w:t>
            </w:r>
          </w:p>
        </w:tc>
        <w:tc>
          <w:tcPr>
            <w:tcW w:w="1600" w:type="dxa"/>
            <w:tcBorders>
              <w:top w:val="nil"/>
              <w:left w:val="nil"/>
              <w:bottom w:val="single" w:color="auto" w:sz="4" w:space="0"/>
              <w:right w:val="single" w:color="auto" w:sz="4" w:space="0"/>
            </w:tcBorders>
            <w:vAlign w:val="center"/>
          </w:tcPr>
          <w:p w14:paraId="292D4AB9">
            <w:pPr>
              <w:widowControl/>
              <w:jc w:val="left"/>
              <w:rPr>
                <w:rFonts w:ascii="宋体" w:hAnsi="宋体" w:cs="宋体"/>
                <w:color w:val="000000"/>
                <w:kern w:val="0"/>
                <w:sz w:val="22"/>
              </w:rPr>
            </w:pPr>
            <w:r>
              <w:rPr>
                <w:rFonts w:hint="eastAsia" w:ascii="宋体" w:hAnsi="宋体" w:cs="宋体"/>
                <w:color w:val="000000"/>
                <w:kern w:val="0"/>
                <w:sz w:val="22"/>
              </w:rPr>
              <w:t>　</w:t>
            </w:r>
          </w:p>
        </w:tc>
      </w:tr>
      <w:tr w14:paraId="1DE4E9E6">
        <w:tblPrEx>
          <w:tblCellMar>
            <w:top w:w="0" w:type="dxa"/>
            <w:left w:w="108" w:type="dxa"/>
            <w:bottom w:w="0" w:type="dxa"/>
            <w:right w:w="108" w:type="dxa"/>
          </w:tblCellMar>
        </w:tblPrEx>
        <w:trPr>
          <w:trHeight w:val="270" w:hRule="atLeast"/>
        </w:trPr>
        <w:tc>
          <w:tcPr>
            <w:tcW w:w="4800" w:type="dxa"/>
            <w:vMerge w:val="continue"/>
            <w:tcBorders>
              <w:top w:val="nil"/>
              <w:left w:val="single" w:color="auto" w:sz="4" w:space="0"/>
              <w:bottom w:val="single" w:color="000000" w:sz="4" w:space="0"/>
              <w:right w:val="single" w:color="auto" w:sz="4" w:space="0"/>
            </w:tcBorders>
            <w:vAlign w:val="center"/>
          </w:tcPr>
          <w:p w14:paraId="69B593B6">
            <w:pPr>
              <w:widowControl/>
              <w:jc w:val="left"/>
              <w:rPr>
                <w:rFonts w:ascii="仿宋_GB2312" w:hAnsi="宋体" w:eastAsia="仿宋_GB2312" w:cs="宋体"/>
                <w:color w:val="000000"/>
                <w:kern w:val="0"/>
                <w:szCs w:val="21"/>
              </w:rPr>
            </w:pPr>
          </w:p>
        </w:tc>
        <w:tc>
          <w:tcPr>
            <w:tcW w:w="2200" w:type="dxa"/>
            <w:tcBorders>
              <w:top w:val="nil"/>
              <w:left w:val="nil"/>
              <w:bottom w:val="single" w:color="auto" w:sz="4" w:space="0"/>
              <w:right w:val="single" w:color="auto" w:sz="4" w:space="0"/>
            </w:tcBorders>
            <w:vAlign w:val="center"/>
          </w:tcPr>
          <w:p w14:paraId="300E8A3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二级知识测试通过</w:t>
            </w:r>
          </w:p>
        </w:tc>
        <w:tc>
          <w:tcPr>
            <w:tcW w:w="1600" w:type="dxa"/>
            <w:tcBorders>
              <w:top w:val="nil"/>
              <w:left w:val="nil"/>
              <w:bottom w:val="single" w:color="auto" w:sz="4" w:space="0"/>
              <w:right w:val="single" w:color="auto" w:sz="4" w:space="0"/>
            </w:tcBorders>
            <w:vAlign w:val="center"/>
          </w:tcPr>
          <w:p w14:paraId="3F1E8949">
            <w:pPr>
              <w:widowControl/>
              <w:jc w:val="left"/>
              <w:rPr>
                <w:rFonts w:ascii="宋体" w:hAnsi="宋体" w:cs="宋体"/>
                <w:color w:val="000000"/>
                <w:kern w:val="0"/>
                <w:sz w:val="22"/>
              </w:rPr>
            </w:pPr>
            <w:r>
              <w:rPr>
                <w:rFonts w:hint="eastAsia" w:ascii="宋体" w:hAnsi="宋体" w:cs="宋体"/>
                <w:color w:val="000000"/>
                <w:kern w:val="0"/>
                <w:sz w:val="22"/>
              </w:rPr>
              <w:t>　</w:t>
            </w:r>
          </w:p>
        </w:tc>
      </w:tr>
      <w:tr w14:paraId="607B1BB1">
        <w:tblPrEx>
          <w:tblCellMar>
            <w:top w:w="0" w:type="dxa"/>
            <w:left w:w="108" w:type="dxa"/>
            <w:bottom w:w="0" w:type="dxa"/>
            <w:right w:w="108" w:type="dxa"/>
          </w:tblCellMar>
        </w:tblPrEx>
        <w:trPr>
          <w:trHeight w:val="270" w:hRule="atLeast"/>
        </w:trPr>
        <w:tc>
          <w:tcPr>
            <w:tcW w:w="4800" w:type="dxa"/>
            <w:vMerge w:val="continue"/>
            <w:tcBorders>
              <w:top w:val="nil"/>
              <w:left w:val="single" w:color="auto" w:sz="4" w:space="0"/>
              <w:bottom w:val="single" w:color="000000" w:sz="4" w:space="0"/>
              <w:right w:val="single" w:color="auto" w:sz="4" w:space="0"/>
            </w:tcBorders>
            <w:vAlign w:val="center"/>
          </w:tcPr>
          <w:p w14:paraId="2948DD76">
            <w:pPr>
              <w:widowControl/>
              <w:jc w:val="left"/>
              <w:rPr>
                <w:rFonts w:ascii="仿宋_GB2312" w:hAnsi="宋体" w:eastAsia="仿宋_GB2312" w:cs="宋体"/>
                <w:color w:val="000000"/>
                <w:kern w:val="0"/>
                <w:szCs w:val="21"/>
              </w:rPr>
            </w:pPr>
          </w:p>
        </w:tc>
        <w:tc>
          <w:tcPr>
            <w:tcW w:w="2200" w:type="dxa"/>
            <w:tcBorders>
              <w:top w:val="nil"/>
              <w:left w:val="nil"/>
              <w:bottom w:val="single" w:color="auto" w:sz="4" w:space="0"/>
              <w:right w:val="single" w:color="auto" w:sz="4" w:space="0"/>
            </w:tcBorders>
            <w:vAlign w:val="center"/>
          </w:tcPr>
          <w:p w14:paraId="1635CA5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三级知识测试通过</w:t>
            </w:r>
          </w:p>
        </w:tc>
        <w:tc>
          <w:tcPr>
            <w:tcW w:w="1600" w:type="dxa"/>
            <w:tcBorders>
              <w:top w:val="nil"/>
              <w:left w:val="nil"/>
              <w:bottom w:val="single" w:color="auto" w:sz="4" w:space="0"/>
              <w:right w:val="single" w:color="auto" w:sz="4" w:space="0"/>
            </w:tcBorders>
            <w:vAlign w:val="center"/>
          </w:tcPr>
          <w:p w14:paraId="1D4585E1">
            <w:pPr>
              <w:widowControl/>
              <w:jc w:val="left"/>
              <w:rPr>
                <w:rFonts w:ascii="宋体" w:hAnsi="宋体" w:cs="宋体"/>
                <w:color w:val="000000"/>
                <w:kern w:val="0"/>
                <w:sz w:val="22"/>
              </w:rPr>
            </w:pPr>
            <w:r>
              <w:rPr>
                <w:rFonts w:hint="eastAsia" w:ascii="宋体" w:hAnsi="宋体" w:cs="宋体"/>
                <w:color w:val="000000"/>
                <w:kern w:val="0"/>
                <w:sz w:val="22"/>
              </w:rPr>
              <w:t>　</w:t>
            </w:r>
          </w:p>
        </w:tc>
      </w:tr>
      <w:tr w14:paraId="6FAA62E3">
        <w:tblPrEx>
          <w:tblCellMar>
            <w:top w:w="0" w:type="dxa"/>
            <w:left w:w="108" w:type="dxa"/>
            <w:bottom w:w="0" w:type="dxa"/>
            <w:right w:w="108" w:type="dxa"/>
          </w:tblCellMar>
        </w:tblPrEx>
        <w:trPr>
          <w:trHeight w:val="270" w:hRule="atLeast"/>
        </w:trPr>
        <w:tc>
          <w:tcPr>
            <w:tcW w:w="4800" w:type="dxa"/>
            <w:vMerge w:val="continue"/>
            <w:tcBorders>
              <w:top w:val="nil"/>
              <w:left w:val="single" w:color="auto" w:sz="4" w:space="0"/>
              <w:bottom w:val="single" w:color="000000" w:sz="4" w:space="0"/>
              <w:right w:val="single" w:color="auto" w:sz="4" w:space="0"/>
            </w:tcBorders>
            <w:vAlign w:val="center"/>
          </w:tcPr>
          <w:p w14:paraId="1AB0370F">
            <w:pPr>
              <w:widowControl/>
              <w:jc w:val="left"/>
              <w:rPr>
                <w:rFonts w:ascii="仿宋_GB2312" w:hAnsi="宋体" w:eastAsia="仿宋_GB2312" w:cs="宋体"/>
                <w:color w:val="000000"/>
                <w:kern w:val="0"/>
                <w:szCs w:val="21"/>
              </w:rPr>
            </w:pPr>
          </w:p>
        </w:tc>
        <w:tc>
          <w:tcPr>
            <w:tcW w:w="2200" w:type="dxa"/>
            <w:tcBorders>
              <w:top w:val="nil"/>
              <w:left w:val="nil"/>
              <w:bottom w:val="single" w:color="auto" w:sz="4" w:space="0"/>
              <w:right w:val="single" w:color="auto" w:sz="4" w:space="0"/>
            </w:tcBorders>
            <w:vAlign w:val="center"/>
          </w:tcPr>
          <w:p w14:paraId="489F7B9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综合知识测试通过</w:t>
            </w:r>
          </w:p>
        </w:tc>
        <w:tc>
          <w:tcPr>
            <w:tcW w:w="1600" w:type="dxa"/>
            <w:tcBorders>
              <w:top w:val="nil"/>
              <w:left w:val="nil"/>
              <w:bottom w:val="single" w:color="auto" w:sz="4" w:space="0"/>
              <w:right w:val="single" w:color="auto" w:sz="4" w:space="0"/>
            </w:tcBorders>
            <w:vAlign w:val="center"/>
          </w:tcPr>
          <w:p w14:paraId="0A5C68DC">
            <w:pPr>
              <w:widowControl/>
              <w:jc w:val="left"/>
              <w:rPr>
                <w:rFonts w:ascii="宋体" w:hAnsi="宋体" w:cs="宋体"/>
                <w:color w:val="000000"/>
                <w:kern w:val="0"/>
                <w:sz w:val="22"/>
              </w:rPr>
            </w:pPr>
            <w:r>
              <w:rPr>
                <w:rFonts w:hint="eastAsia" w:ascii="宋体" w:hAnsi="宋体" w:cs="宋体"/>
                <w:color w:val="000000"/>
                <w:kern w:val="0"/>
                <w:sz w:val="22"/>
              </w:rPr>
              <w:t>　</w:t>
            </w:r>
          </w:p>
        </w:tc>
      </w:tr>
      <w:tr w14:paraId="2B71F891">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50A09A82">
            <w:pPr>
              <w:widowControl/>
              <w:jc w:val="left"/>
              <w:rPr>
                <w:rFonts w:hint="eastAsia" w:ascii="宋体" w:hAnsi="宋体" w:eastAsia="宋体" w:cs="宋体"/>
                <w:b/>
                <w:bCs/>
                <w:color w:val="000000"/>
                <w:kern w:val="0"/>
                <w:sz w:val="22"/>
                <w:lang w:eastAsia="zh-CN"/>
              </w:rPr>
            </w:pPr>
            <w:r>
              <w:rPr>
                <w:rFonts w:hint="eastAsia" w:ascii="宋体" w:hAnsi="宋体" w:cs="宋体"/>
                <w:b/>
                <w:bCs/>
                <w:color w:val="000000"/>
                <w:kern w:val="0"/>
                <w:sz w:val="22"/>
                <w:lang w:eastAsia="zh-CN"/>
              </w:rPr>
              <w:t>或有中国金融期货交易所交易编码</w:t>
            </w:r>
          </w:p>
        </w:tc>
      </w:tr>
      <w:tr w14:paraId="521D403E">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456C0D99">
            <w:pPr>
              <w:widowControl/>
              <w:jc w:val="left"/>
              <w:rPr>
                <w:rFonts w:ascii="宋体" w:hAnsi="宋体" w:cs="宋体"/>
                <w:b/>
                <w:bCs/>
                <w:color w:val="000000"/>
                <w:kern w:val="0"/>
                <w:sz w:val="22"/>
              </w:rPr>
            </w:pPr>
            <w:r>
              <w:rPr>
                <w:rFonts w:hint="eastAsia" w:ascii="宋体" w:hAnsi="宋体" w:cs="宋体"/>
                <w:b/>
                <w:bCs/>
                <w:color w:val="000000"/>
                <w:kern w:val="0"/>
                <w:sz w:val="22"/>
              </w:rPr>
              <w:t>四、风险评估</w:t>
            </w:r>
          </w:p>
        </w:tc>
      </w:tr>
      <w:tr w14:paraId="4B750C8F">
        <w:tblPrEx>
          <w:tblCellMar>
            <w:top w:w="0" w:type="dxa"/>
            <w:left w:w="108" w:type="dxa"/>
            <w:bottom w:w="0" w:type="dxa"/>
            <w:right w:w="108" w:type="dxa"/>
          </w:tblCellMar>
        </w:tblPrEx>
        <w:trPr>
          <w:trHeight w:val="377" w:hRule="atLeast"/>
        </w:trPr>
        <w:tc>
          <w:tcPr>
            <w:tcW w:w="7000" w:type="dxa"/>
            <w:gridSpan w:val="2"/>
            <w:tcBorders>
              <w:top w:val="nil"/>
              <w:left w:val="single" w:color="auto" w:sz="4" w:space="0"/>
              <w:right w:val="single" w:color="auto" w:sz="4" w:space="0"/>
            </w:tcBorders>
            <w:vAlign w:val="center"/>
          </w:tcPr>
          <w:p w14:paraId="78340AA5">
            <w:pPr>
              <w:widowControl/>
              <w:ind w:firstLine="1155" w:firstLineChars="550"/>
              <w:rPr>
                <w:rFonts w:ascii="仿宋_GB2312" w:hAnsi="宋体" w:eastAsia="仿宋_GB2312" w:cs="宋体"/>
                <w:color w:val="000000"/>
                <w:kern w:val="0"/>
                <w:sz w:val="18"/>
                <w:szCs w:val="21"/>
              </w:rPr>
            </w:pPr>
            <w:r>
              <w:rPr>
                <w:rFonts w:hint="eastAsia" w:ascii="仿宋_GB2312" w:hAnsi="宋体" w:eastAsia="仿宋_GB2312" w:cs="宋体"/>
                <w:color w:val="000000"/>
                <w:kern w:val="0"/>
                <w:szCs w:val="21"/>
              </w:rPr>
              <w:t xml:space="preserve">  通过风险承受能力评估</w:t>
            </w:r>
          </w:p>
        </w:tc>
        <w:tc>
          <w:tcPr>
            <w:tcW w:w="1600" w:type="dxa"/>
            <w:tcBorders>
              <w:top w:val="nil"/>
              <w:left w:val="nil"/>
              <w:right w:val="single" w:color="auto" w:sz="4" w:space="0"/>
            </w:tcBorders>
            <w:vAlign w:val="center"/>
          </w:tcPr>
          <w:p w14:paraId="0C4FFF40">
            <w:pPr>
              <w:widowControl/>
              <w:jc w:val="left"/>
              <w:rPr>
                <w:rFonts w:ascii="宋体" w:hAnsi="宋体" w:cs="宋体"/>
                <w:color w:val="000000"/>
                <w:kern w:val="0"/>
                <w:sz w:val="22"/>
              </w:rPr>
            </w:pPr>
            <w:r>
              <w:rPr>
                <w:rFonts w:hint="eastAsia" w:ascii="宋体" w:hAnsi="宋体" w:cs="宋体"/>
                <w:color w:val="000000"/>
                <w:kern w:val="0"/>
                <w:sz w:val="22"/>
              </w:rPr>
              <w:t>　</w:t>
            </w:r>
          </w:p>
        </w:tc>
      </w:tr>
      <w:tr w14:paraId="4B63E85D">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6447AD4F">
            <w:pPr>
              <w:widowControl/>
              <w:jc w:val="left"/>
              <w:rPr>
                <w:rFonts w:ascii="宋体" w:hAnsi="宋体" w:cs="宋体"/>
                <w:b/>
                <w:bCs/>
                <w:color w:val="000000"/>
                <w:kern w:val="0"/>
                <w:sz w:val="22"/>
              </w:rPr>
            </w:pPr>
            <w:r>
              <w:rPr>
                <w:rFonts w:hint="eastAsia" w:ascii="宋体" w:hAnsi="宋体" w:cs="宋体"/>
                <w:b/>
                <w:bCs/>
                <w:color w:val="000000"/>
                <w:kern w:val="0"/>
                <w:sz w:val="22"/>
              </w:rPr>
              <w:t>五、不良诚信记录</w:t>
            </w:r>
          </w:p>
        </w:tc>
      </w:tr>
      <w:tr w14:paraId="426AA647">
        <w:tblPrEx>
          <w:tblCellMar>
            <w:top w:w="0" w:type="dxa"/>
            <w:left w:w="108" w:type="dxa"/>
            <w:bottom w:w="0" w:type="dxa"/>
            <w:right w:w="108" w:type="dxa"/>
          </w:tblCellMar>
        </w:tblPrEx>
        <w:trPr>
          <w:trHeight w:val="373" w:hRule="atLeast"/>
        </w:trPr>
        <w:tc>
          <w:tcPr>
            <w:tcW w:w="7000" w:type="dxa"/>
            <w:gridSpan w:val="2"/>
            <w:tcBorders>
              <w:top w:val="nil"/>
              <w:left w:val="single" w:color="auto" w:sz="4" w:space="0"/>
              <w:right w:val="single" w:color="auto" w:sz="4" w:space="0"/>
            </w:tcBorders>
            <w:vAlign w:val="center"/>
          </w:tcPr>
          <w:p w14:paraId="58EEE074">
            <w:pPr>
              <w:widowControl/>
              <w:ind w:firstLine="1365" w:firstLineChars="650"/>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无不良诚信记录</w:t>
            </w:r>
          </w:p>
        </w:tc>
        <w:tc>
          <w:tcPr>
            <w:tcW w:w="1600" w:type="dxa"/>
            <w:tcBorders>
              <w:top w:val="nil"/>
              <w:left w:val="nil"/>
              <w:right w:val="single" w:color="auto" w:sz="4" w:space="0"/>
            </w:tcBorders>
            <w:vAlign w:val="center"/>
          </w:tcPr>
          <w:p w14:paraId="077380E2">
            <w:pPr>
              <w:widowControl/>
              <w:jc w:val="left"/>
              <w:rPr>
                <w:rFonts w:ascii="宋体" w:hAnsi="宋体" w:cs="宋体"/>
                <w:color w:val="000000"/>
                <w:kern w:val="0"/>
                <w:sz w:val="22"/>
              </w:rPr>
            </w:pPr>
            <w:r>
              <w:rPr>
                <w:rFonts w:hint="eastAsia" w:ascii="宋体" w:hAnsi="宋体" w:cs="宋体"/>
                <w:color w:val="000000"/>
                <w:kern w:val="0"/>
                <w:sz w:val="22"/>
              </w:rPr>
              <w:t>　</w:t>
            </w:r>
          </w:p>
        </w:tc>
      </w:tr>
      <w:tr w14:paraId="3294F180">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143C912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本人承诺</w:t>
            </w:r>
          </w:p>
        </w:tc>
      </w:tr>
      <w:tr w14:paraId="79FE81DB">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3886CCB8">
            <w:pPr>
              <w:widowControl/>
              <w:jc w:val="left"/>
              <w:rPr>
                <w:rFonts w:ascii="仿宋_GB2312" w:hAnsi="宋体" w:eastAsia="仿宋_GB2312" w:cs="宋体"/>
                <w:color w:val="000000"/>
                <w:kern w:val="0"/>
                <w:szCs w:val="21"/>
              </w:rPr>
            </w:pPr>
            <w:r>
              <w:rPr>
                <w:rFonts w:hint="default" w:ascii="Times New Roman" w:hAnsi="Times New Roman" w:eastAsia="仿宋_GB2312" w:cs="Times New Roman"/>
                <w:color w:val="000000"/>
                <w:kern w:val="0"/>
                <w:szCs w:val="21"/>
              </w:rPr>
              <w:t>1.</w:t>
            </w:r>
            <w:r>
              <w:rPr>
                <w:rFonts w:hint="eastAsia" w:ascii="仿宋_GB2312" w:hAnsi="宋体" w:eastAsia="仿宋_GB2312" w:cs="宋体"/>
                <w:color w:val="000000"/>
                <w:kern w:val="0"/>
                <w:szCs w:val="21"/>
              </w:rPr>
              <w:t>本人对所提供相关证明材料的真实性负责，并自愿承担因材料不实导致的一切后果。</w:t>
            </w:r>
          </w:p>
        </w:tc>
      </w:tr>
      <w:tr w14:paraId="56845F05">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3092F789">
            <w:pPr>
              <w:widowControl/>
              <w:jc w:val="left"/>
              <w:rPr>
                <w:rFonts w:ascii="仿宋_GB2312" w:hAnsi="宋体" w:eastAsia="仿宋_GB2312" w:cs="宋体"/>
                <w:color w:val="000000"/>
                <w:kern w:val="0"/>
                <w:szCs w:val="21"/>
              </w:rPr>
            </w:pPr>
            <w:r>
              <w:rPr>
                <w:rFonts w:hint="eastAsia" w:ascii="Times New Roman" w:hAnsi="Times New Roman" w:eastAsia="仿宋_GB2312" w:cs="Times New Roman"/>
                <w:color w:val="000000"/>
                <w:kern w:val="0"/>
                <w:szCs w:val="21"/>
                <w:lang w:val="en-US" w:eastAsia="zh-CN"/>
              </w:rPr>
              <w:t>2</w:t>
            </w:r>
            <w:r>
              <w:rPr>
                <w:rFonts w:hint="default" w:ascii="Times New Roman" w:hAnsi="Times New Roman" w:eastAsia="仿宋_GB2312" w:cs="Times New Roman"/>
                <w:color w:val="000000"/>
                <w:kern w:val="0"/>
                <w:szCs w:val="21"/>
              </w:rPr>
              <w:t>.</w:t>
            </w:r>
            <w:r>
              <w:rPr>
                <w:rFonts w:hint="eastAsia" w:ascii="仿宋_GB2312" w:hAnsi="宋体" w:eastAsia="仿宋_GB2312" w:cs="宋体"/>
                <w:color w:val="000000"/>
                <w:kern w:val="0"/>
                <w:szCs w:val="21"/>
              </w:rPr>
              <w:t>本人不存在重大未申报的不良信用记录。</w:t>
            </w:r>
          </w:p>
        </w:tc>
      </w:tr>
      <w:tr w14:paraId="5D804A0E">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4C2DCC74">
            <w:pPr>
              <w:widowControl/>
              <w:jc w:val="left"/>
              <w:rPr>
                <w:rFonts w:ascii="仿宋_GB2312" w:hAnsi="宋体" w:eastAsia="仿宋_GB2312" w:cs="宋体"/>
                <w:color w:val="000000"/>
                <w:kern w:val="0"/>
                <w:szCs w:val="21"/>
              </w:rPr>
            </w:pPr>
            <w:r>
              <w:rPr>
                <w:rFonts w:hint="eastAsia" w:ascii="Times New Roman" w:hAnsi="Times New Roman" w:eastAsia="仿宋_GB2312" w:cs="Times New Roman"/>
                <w:color w:val="000000"/>
                <w:kern w:val="0"/>
                <w:szCs w:val="21"/>
                <w:lang w:val="en-US" w:eastAsia="zh-CN"/>
              </w:rPr>
              <w:t>3</w:t>
            </w:r>
            <w:r>
              <w:rPr>
                <w:rFonts w:hint="default" w:ascii="Times New Roman" w:hAnsi="Times New Roman" w:eastAsia="仿宋_GB2312" w:cs="Times New Roman"/>
                <w:color w:val="000000"/>
                <w:kern w:val="0"/>
                <w:szCs w:val="21"/>
              </w:rPr>
              <w:t>.</w:t>
            </w:r>
            <w:r>
              <w:rPr>
                <w:rFonts w:hint="eastAsia" w:ascii="仿宋_GB2312" w:hAnsi="宋体" w:eastAsia="仿宋_GB2312" w:cs="宋体"/>
                <w:color w:val="000000"/>
                <w:kern w:val="0"/>
                <w:szCs w:val="21"/>
              </w:rPr>
              <w:t>本人不存在证券市场禁入以及法律、行政法规、规章和上海证券交易所业务规则禁止</w:t>
            </w:r>
          </w:p>
        </w:tc>
      </w:tr>
      <w:tr w14:paraId="2E8BBDDC">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000000" w:sz="4" w:space="0"/>
            </w:tcBorders>
            <w:vAlign w:val="center"/>
          </w:tcPr>
          <w:p w14:paraId="6BFD260A">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从事期权交易的情形。</w:t>
            </w:r>
          </w:p>
        </w:tc>
      </w:tr>
      <w:tr w14:paraId="67390D76">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4E4E8615">
            <w:pPr>
              <w:widowControl/>
              <w:jc w:val="left"/>
              <w:rPr>
                <w:rFonts w:ascii="仿宋_GB2312" w:hAnsi="宋体" w:eastAsia="仿宋_GB2312" w:cs="宋体"/>
                <w:color w:val="000000"/>
                <w:kern w:val="0"/>
                <w:szCs w:val="21"/>
              </w:rPr>
            </w:pPr>
            <w:r>
              <w:rPr>
                <w:rFonts w:hint="eastAsia" w:ascii="Times New Roman" w:hAnsi="Times New Roman" w:eastAsia="仿宋_GB2312" w:cs="Times New Roman"/>
                <w:color w:val="000000"/>
                <w:kern w:val="0"/>
                <w:szCs w:val="21"/>
                <w:lang w:val="en-US" w:eastAsia="zh-CN"/>
              </w:rPr>
              <w:t>4</w:t>
            </w:r>
            <w:r>
              <w:rPr>
                <w:rFonts w:hint="default" w:ascii="Times New Roman" w:hAnsi="Times New Roman" w:eastAsia="仿宋_GB2312" w:cs="Times New Roman"/>
                <w:color w:val="000000"/>
                <w:kern w:val="0"/>
                <w:szCs w:val="21"/>
              </w:rPr>
              <w:t>.</w:t>
            </w:r>
            <w:r>
              <w:rPr>
                <w:rFonts w:hint="eastAsia" w:ascii="仿宋_GB2312" w:hAnsi="宋体" w:eastAsia="仿宋_GB2312" w:cs="宋体"/>
                <w:color w:val="000000"/>
                <w:kern w:val="0"/>
                <w:szCs w:val="21"/>
              </w:rPr>
              <w:t>本人身体健康，不存在不适宜从事期权交易的情形。</w:t>
            </w:r>
          </w:p>
        </w:tc>
      </w:tr>
      <w:tr w14:paraId="409FB286">
        <w:tblPrEx>
          <w:tblCellMar>
            <w:top w:w="0" w:type="dxa"/>
            <w:left w:w="108" w:type="dxa"/>
            <w:bottom w:w="0" w:type="dxa"/>
            <w:right w:w="108" w:type="dxa"/>
          </w:tblCellMar>
        </w:tblPrEx>
        <w:trPr>
          <w:trHeight w:val="285"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0AE6C896">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 xml:space="preserve">投资者（签字）：                             </w:t>
            </w:r>
            <w:r>
              <w:rPr>
                <w:rFonts w:hint="eastAsia" w:ascii="仿宋_GB2312" w:hAnsi="宋体" w:eastAsia="仿宋_GB2312" w:cs="宋体"/>
                <w:b/>
                <w:color w:val="000000"/>
                <w:kern w:val="0"/>
                <w:szCs w:val="21"/>
              </w:rPr>
              <w:t>日期：</w:t>
            </w:r>
          </w:p>
        </w:tc>
      </w:tr>
      <w:tr w14:paraId="5EABD2D6">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15B37E64">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 xml:space="preserve">分支机构开户经办人（签字）：              </w:t>
            </w:r>
          </w:p>
        </w:tc>
      </w:tr>
      <w:tr w14:paraId="36DFD722">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12C4977F">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日期：</w:t>
            </w:r>
          </w:p>
        </w:tc>
      </w:tr>
      <w:tr w14:paraId="35F340FB">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578B0419">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 xml:space="preserve">分支机构负责人或其授权人（签字）：              </w:t>
            </w:r>
          </w:p>
        </w:tc>
      </w:tr>
      <w:tr w14:paraId="0CC22B48">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vAlign w:val="center"/>
          </w:tcPr>
          <w:p w14:paraId="1640E5F3">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日期：</w:t>
            </w:r>
          </w:p>
        </w:tc>
      </w:tr>
      <w:tr w14:paraId="14ADB040">
        <w:tblPrEx>
          <w:tblCellMar>
            <w:top w:w="0" w:type="dxa"/>
            <w:left w:w="108" w:type="dxa"/>
            <w:bottom w:w="0" w:type="dxa"/>
            <w:right w:w="108" w:type="dxa"/>
          </w:tblCellMar>
        </w:tblPrEx>
        <w:trPr>
          <w:trHeight w:val="270" w:hRule="atLeast"/>
        </w:trPr>
        <w:tc>
          <w:tcPr>
            <w:tcW w:w="8600" w:type="dxa"/>
            <w:gridSpan w:val="3"/>
            <w:tcBorders>
              <w:top w:val="single" w:color="auto" w:sz="4" w:space="0"/>
              <w:left w:val="single" w:color="auto" w:sz="4" w:space="0"/>
              <w:bottom w:val="single" w:color="auto" w:sz="4" w:space="0"/>
              <w:right w:val="single" w:color="auto" w:sz="4" w:space="0"/>
            </w:tcBorders>
          </w:tcPr>
          <w:p w14:paraId="2EE1115E">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评估意见：</w:t>
            </w:r>
          </w:p>
        </w:tc>
      </w:tr>
      <w:tr w14:paraId="7A1934F2">
        <w:tblPrEx>
          <w:tblCellMar>
            <w:top w:w="0" w:type="dxa"/>
            <w:left w:w="108" w:type="dxa"/>
            <w:bottom w:w="0" w:type="dxa"/>
            <w:right w:w="108" w:type="dxa"/>
          </w:tblCellMar>
        </w:tblPrEx>
        <w:trPr>
          <w:trHeight w:val="570" w:hRule="atLeast"/>
        </w:trPr>
        <w:tc>
          <w:tcPr>
            <w:tcW w:w="8600" w:type="dxa"/>
            <w:gridSpan w:val="3"/>
            <w:tcBorders>
              <w:top w:val="single" w:color="auto" w:sz="4" w:space="0"/>
              <w:left w:val="single" w:color="auto" w:sz="4" w:space="0"/>
              <w:bottom w:val="single" w:color="auto" w:sz="4" w:space="0"/>
              <w:right w:val="single" w:color="auto" w:sz="4" w:space="0"/>
            </w:tcBorders>
          </w:tcPr>
          <w:p w14:paraId="280338CF">
            <w:pPr>
              <w:widowControl/>
              <w:jc w:val="left"/>
              <w:rPr>
                <w:rFonts w:ascii="仿宋_GB2312" w:hAnsi="宋体" w:eastAsia="仿宋_GB2312" w:cs="宋体"/>
                <w:color w:val="000000"/>
                <w:kern w:val="0"/>
                <w:sz w:val="18"/>
                <w:szCs w:val="21"/>
              </w:rPr>
            </w:pPr>
            <w:r>
              <w:rPr>
                <w:rFonts w:hint="eastAsia" w:ascii="仿宋_GB2312" w:hAnsi="宋体" w:eastAsia="仿宋_GB2312" w:cs="宋体"/>
                <w:color w:val="000000"/>
                <w:kern w:val="0"/>
                <w:szCs w:val="21"/>
              </w:rPr>
              <w:t>经综合考虑，建议授予投资者</w:t>
            </w:r>
            <w:r>
              <w:rPr>
                <w:rFonts w:ascii="仿宋_GB2312" w:hAnsi="宋体" w:eastAsia="仿宋_GB2312" w:cs="宋体"/>
                <w:color w:val="000000"/>
                <w:kern w:val="0"/>
                <w:szCs w:val="21"/>
                <w:u w:val="single"/>
              </w:rPr>
              <w:t xml:space="preserve">    </w:t>
            </w:r>
            <w:r>
              <w:rPr>
                <w:rFonts w:hint="eastAsia" w:ascii="仿宋_GB2312" w:hAnsi="宋体" w:eastAsia="仿宋_GB2312" w:cs="宋体"/>
                <w:color w:val="000000"/>
                <w:kern w:val="0"/>
                <w:szCs w:val="21"/>
              </w:rPr>
              <w:t>级股票期权交易权限。</w:t>
            </w:r>
          </w:p>
        </w:tc>
      </w:tr>
      <w:tr w14:paraId="0FDB9768">
        <w:tblPrEx>
          <w:tblCellMar>
            <w:top w:w="0" w:type="dxa"/>
            <w:left w:w="108" w:type="dxa"/>
            <w:bottom w:w="0" w:type="dxa"/>
            <w:right w:w="108" w:type="dxa"/>
          </w:tblCellMar>
        </w:tblPrEx>
        <w:trPr>
          <w:trHeight w:val="285" w:hRule="atLeast"/>
        </w:trPr>
        <w:tc>
          <w:tcPr>
            <w:tcW w:w="8600" w:type="dxa"/>
            <w:gridSpan w:val="3"/>
            <w:tcBorders>
              <w:top w:val="single" w:color="auto" w:sz="4" w:space="0"/>
              <w:left w:val="single" w:color="auto" w:sz="4" w:space="0"/>
              <w:bottom w:val="single" w:color="auto" w:sz="4" w:space="0"/>
              <w:right w:val="single" w:color="auto" w:sz="4" w:space="0"/>
            </w:tcBorders>
          </w:tcPr>
          <w:p w14:paraId="672CB35A">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提示：评估意见不构成投资建议，亦不构成对投资者的获利保证。</w:t>
            </w:r>
          </w:p>
        </w:tc>
      </w:tr>
      <w:bookmarkEnd w:id="548"/>
      <w:bookmarkEnd w:id="549"/>
      <w:bookmarkEnd w:id="550"/>
      <w:bookmarkEnd w:id="551"/>
    </w:tbl>
    <w:p w14:paraId="0DC08910">
      <w:pPr>
        <w:pStyle w:val="4"/>
        <w:jc w:val="both"/>
        <w:rPr>
          <w:rFonts w:hint="eastAsia"/>
        </w:rPr>
      </w:pPr>
      <w:bookmarkStart w:id="582" w:name="_Toc406438935"/>
      <w:bookmarkStart w:id="583" w:name="_Toc406438957"/>
      <w:bookmarkStart w:id="584" w:name="_Toc406439142"/>
      <w:bookmarkStart w:id="585" w:name="_Toc406436508"/>
      <w:bookmarkStart w:id="586" w:name="_Toc408301011"/>
      <w:bookmarkStart w:id="587" w:name="_Toc22026"/>
      <w:bookmarkStart w:id="588" w:name="_Toc23947041"/>
      <w:bookmarkStart w:id="589" w:name="_Toc22267"/>
      <w:bookmarkStart w:id="590" w:name="_Toc4650"/>
      <w:bookmarkStart w:id="591" w:name="_Toc408749948"/>
      <w:bookmarkStart w:id="592" w:name="_Toc9196"/>
      <w:r>
        <w:rPr>
          <w:rFonts w:hint="default" w:ascii="Times New Roman" w:hAnsi="Times New Roman"/>
        </w:rPr>
        <w:t>附件</w:t>
      </w:r>
      <w:r>
        <w:rPr>
          <w:rFonts w:hint="eastAsia" w:ascii="Times New Roman" w:hAnsi="Times New Roman"/>
          <w:lang w:val="en-US" w:eastAsia="zh-CN"/>
        </w:rPr>
        <w:t>四</w:t>
      </w:r>
    </w:p>
    <w:p w14:paraId="5CE387ED">
      <w:pPr>
        <w:pStyle w:val="5"/>
        <w:ind w:firstLine="0" w:firstLineChars="0"/>
        <w:jc w:val="center"/>
      </w:pPr>
      <w:r>
        <w:rPr>
          <w:rFonts w:hint="eastAsia"/>
        </w:rPr>
        <w:t>上海证券交易所股票期权经纪业务申请流程</w:t>
      </w:r>
      <w:bookmarkEnd w:id="582"/>
      <w:bookmarkEnd w:id="583"/>
      <w:bookmarkEnd w:id="584"/>
      <w:bookmarkEnd w:id="585"/>
      <w:bookmarkEnd w:id="586"/>
      <w:r>
        <w:rPr>
          <w:rFonts w:hint="eastAsia"/>
        </w:rPr>
        <w:t>图</w:t>
      </w:r>
      <w:bookmarkEnd w:id="587"/>
      <w:bookmarkEnd w:id="588"/>
      <w:bookmarkEnd w:id="589"/>
      <w:bookmarkEnd w:id="590"/>
      <w:bookmarkEnd w:id="591"/>
      <w:bookmarkEnd w:id="592"/>
    </w:p>
    <w:p w14:paraId="38EEFE41">
      <w:pPr>
        <w:jc w:val="center"/>
      </w:pPr>
      <w:r>
        <w:object>
          <v:shape id="_x0000_i1025" o:spt="75" type="#_x0000_t75" style="height:581.55pt;width:374.45pt;" o:ole="t" filled="f" o:preferrelative="t" stroked="f" coordsize="21600,21600">
            <v:path/>
            <v:fill on="f" focussize="0,0"/>
            <v:stroke on="f"/>
            <v:imagedata r:id="rId12" o:title=""/>
            <o:lock v:ext="edit" aspectratio="t"/>
            <w10:wrap type="none"/>
            <w10:anchorlock/>
          </v:shape>
          <o:OLEObject Type="Embed" ProgID="Visio.Drawing.11" ShapeID="_x0000_i1025" DrawAspect="Content" ObjectID="_1468075725" r:id="rId11">
            <o:LockedField>false</o:LockedField>
          </o:OLEObject>
        </w:object>
      </w:r>
    </w:p>
    <w:p w14:paraId="200927D0">
      <w:pPr>
        <w:pStyle w:val="4"/>
        <w:jc w:val="both"/>
        <w:rPr>
          <w:rFonts w:hint="eastAsia"/>
        </w:rPr>
      </w:pPr>
      <w:bookmarkStart w:id="593" w:name="_Toc23947044"/>
      <w:bookmarkStart w:id="594" w:name="_Toc14515"/>
      <w:r>
        <w:rPr>
          <w:rFonts w:hint="default" w:ascii="Times New Roman" w:hAnsi="Times New Roman"/>
        </w:rPr>
        <w:t>附件</w:t>
      </w:r>
      <w:r>
        <w:rPr>
          <w:rFonts w:hint="eastAsia" w:ascii="Times New Roman" w:hAnsi="Times New Roman"/>
          <w:lang w:val="en-US" w:eastAsia="zh-CN"/>
        </w:rPr>
        <w:t>五</w:t>
      </w:r>
    </w:p>
    <w:p w14:paraId="1DB5FD39">
      <w:pPr>
        <w:pStyle w:val="5"/>
        <w:ind w:firstLine="0" w:firstLineChars="0"/>
        <w:jc w:val="center"/>
      </w:pPr>
      <w:r>
        <w:rPr>
          <w:rFonts w:hint="eastAsia"/>
        </w:rPr>
        <w:t>大户持仓报告表</w:t>
      </w:r>
      <w:bookmarkEnd w:id="593"/>
      <w:bookmarkEnd w:id="594"/>
    </w:p>
    <w:tbl>
      <w:tblPr>
        <w:tblStyle w:val="31"/>
        <w:tblW w:w="0" w:type="auto"/>
        <w:jc w:val="center"/>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2093"/>
        <w:gridCol w:w="1112"/>
        <w:gridCol w:w="1420"/>
        <w:gridCol w:w="951"/>
        <w:gridCol w:w="567"/>
        <w:gridCol w:w="993"/>
        <w:gridCol w:w="1751"/>
      </w:tblGrid>
      <w:tr w14:paraId="6114E3C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093"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0226B82C">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投资者（期货公司）名称</w:t>
            </w:r>
          </w:p>
        </w:tc>
        <w:tc>
          <w:tcPr>
            <w:tcW w:w="6794" w:type="dxa"/>
            <w:gridSpan w:val="6"/>
            <w:tcBorders>
              <w:top w:val="single" w:color="auto" w:sz="8" w:space="0"/>
              <w:left w:val="nil"/>
              <w:bottom w:val="single" w:color="auto" w:sz="8" w:space="0"/>
              <w:right w:val="single" w:color="auto" w:sz="8" w:space="0"/>
            </w:tcBorders>
            <w:shd w:val="clear" w:color="auto" w:fill="FFFFFF"/>
            <w:tcMar>
              <w:left w:w="108" w:type="dxa"/>
              <w:right w:w="108" w:type="dxa"/>
            </w:tcMar>
          </w:tcPr>
          <w:p w14:paraId="13841D30">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27F9310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28330718">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合约账户</w:t>
            </w:r>
          </w:p>
        </w:tc>
        <w:tc>
          <w:tcPr>
            <w:tcW w:w="2532" w:type="dxa"/>
            <w:gridSpan w:val="2"/>
            <w:tcBorders>
              <w:top w:val="nil"/>
              <w:left w:val="nil"/>
              <w:bottom w:val="single" w:color="auto" w:sz="8" w:space="0"/>
              <w:right w:val="single" w:color="auto" w:sz="8" w:space="0"/>
            </w:tcBorders>
            <w:shd w:val="clear" w:color="auto" w:fill="FFFFFF"/>
            <w:tcMar>
              <w:left w:w="108" w:type="dxa"/>
              <w:right w:w="108" w:type="dxa"/>
            </w:tcMar>
          </w:tcPr>
          <w:p w14:paraId="7B289867">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4262" w:type="dxa"/>
            <w:gridSpan w:val="4"/>
            <w:tcBorders>
              <w:top w:val="nil"/>
              <w:left w:val="nil"/>
              <w:bottom w:val="single" w:color="auto" w:sz="8" w:space="0"/>
              <w:right w:val="single" w:color="auto" w:sz="8" w:space="0"/>
            </w:tcBorders>
            <w:shd w:val="clear" w:color="auto" w:fill="FFFFFF"/>
            <w:tcMar>
              <w:left w:w="108" w:type="dxa"/>
              <w:right w:w="108" w:type="dxa"/>
            </w:tcMar>
          </w:tcPr>
          <w:p w14:paraId="53BA4195">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□普通</w:t>
            </w:r>
            <w:r>
              <w:rPr>
                <w:rFonts w:ascii="Times New Roman" w:hAnsi="Times New Roman" w:eastAsia="仿宋_GB2312" w:cs="宋体"/>
                <w:kern w:val="0"/>
                <w:sz w:val="24"/>
                <w:szCs w:val="28"/>
              </w:rPr>
              <w:t> </w:t>
            </w:r>
            <w:r>
              <w:rPr>
                <w:rFonts w:hint="eastAsia" w:ascii="仿宋_GB2312" w:hAnsi="Times New Roman" w:eastAsia="仿宋_GB2312" w:cs="宋体"/>
                <w:kern w:val="0"/>
                <w:sz w:val="24"/>
                <w:szCs w:val="28"/>
              </w:rPr>
              <w:t>　□套保  □自营  □做市商</w:t>
            </w:r>
          </w:p>
        </w:tc>
      </w:tr>
      <w:tr w14:paraId="67A978AE">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54FD2454">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联系地址</w:t>
            </w:r>
          </w:p>
        </w:tc>
        <w:tc>
          <w:tcPr>
            <w:tcW w:w="2532" w:type="dxa"/>
            <w:gridSpan w:val="2"/>
            <w:tcBorders>
              <w:top w:val="nil"/>
              <w:left w:val="nil"/>
              <w:bottom w:val="single" w:color="auto" w:sz="8" w:space="0"/>
              <w:right w:val="single" w:color="auto" w:sz="8" w:space="0"/>
            </w:tcBorders>
            <w:shd w:val="clear" w:color="auto" w:fill="FFFFFF"/>
            <w:tcMar>
              <w:left w:w="108" w:type="dxa"/>
              <w:right w:w="108" w:type="dxa"/>
            </w:tcMar>
          </w:tcPr>
          <w:p w14:paraId="7FEC8262">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2511" w:type="dxa"/>
            <w:gridSpan w:val="3"/>
            <w:tcBorders>
              <w:top w:val="nil"/>
              <w:left w:val="nil"/>
              <w:bottom w:val="single" w:color="auto" w:sz="8" w:space="0"/>
              <w:right w:val="single" w:color="auto" w:sz="8" w:space="0"/>
            </w:tcBorders>
            <w:shd w:val="clear" w:color="auto" w:fill="FFFFFF"/>
            <w:tcMar>
              <w:left w:w="108" w:type="dxa"/>
              <w:right w:w="108" w:type="dxa"/>
            </w:tcMar>
          </w:tcPr>
          <w:p w14:paraId="3D13C40E">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联系电话</w:t>
            </w:r>
          </w:p>
        </w:tc>
        <w:tc>
          <w:tcPr>
            <w:tcW w:w="1751" w:type="dxa"/>
            <w:tcBorders>
              <w:top w:val="nil"/>
              <w:left w:val="nil"/>
              <w:bottom w:val="single" w:color="auto" w:sz="8" w:space="0"/>
              <w:right w:val="single" w:color="auto" w:sz="8" w:space="0"/>
            </w:tcBorders>
            <w:shd w:val="clear" w:color="auto" w:fill="FFFFFF"/>
            <w:tcMar>
              <w:left w:w="108" w:type="dxa"/>
              <w:right w:w="108" w:type="dxa"/>
            </w:tcMar>
          </w:tcPr>
          <w:p w14:paraId="07E42F46">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451B415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4C1290D5">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合约编码1</w:t>
            </w:r>
          </w:p>
        </w:tc>
        <w:tc>
          <w:tcPr>
            <w:tcW w:w="2532" w:type="dxa"/>
            <w:gridSpan w:val="2"/>
            <w:tcBorders>
              <w:top w:val="nil"/>
              <w:left w:val="nil"/>
              <w:bottom w:val="single" w:color="auto" w:sz="8" w:space="0"/>
              <w:right w:val="single" w:color="auto" w:sz="8" w:space="0"/>
            </w:tcBorders>
            <w:shd w:val="clear" w:color="auto" w:fill="FFFFFF"/>
            <w:tcMar>
              <w:left w:w="108" w:type="dxa"/>
              <w:right w:w="108" w:type="dxa"/>
            </w:tcMar>
          </w:tcPr>
          <w:p w14:paraId="6B08146C">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2511" w:type="dxa"/>
            <w:gridSpan w:val="3"/>
            <w:tcBorders>
              <w:top w:val="nil"/>
              <w:left w:val="nil"/>
              <w:bottom w:val="single" w:color="auto" w:sz="8" w:space="0"/>
              <w:right w:val="single" w:color="auto" w:sz="8" w:space="0"/>
            </w:tcBorders>
            <w:shd w:val="clear" w:color="auto" w:fill="FFFFFF"/>
            <w:tcMar>
              <w:left w:w="108" w:type="dxa"/>
              <w:right w:w="108" w:type="dxa"/>
            </w:tcMar>
          </w:tcPr>
          <w:p w14:paraId="17C1BA93">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占用保证金（万元）</w:t>
            </w:r>
          </w:p>
        </w:tc>
        <w:tc>
          <w:tcPr>
            <w:tcW w:w="1751" w:type="dxa"/>
            <w:tcBorders>
              <w:top w:val="nil"/>
              <w:left w:val="nil"/>
              <w:bottom w:val="single" w:color="auto" w:sz="8" w:space="0"/>
              <w:right w:val="single" w:color="auto" w:sz="8" w:space="0"/>
            </w:tcBorders>
            <w:shd w:val="clear" w:color="auto" w:fill="FFFFFF"/>
            <w:tcMar>
              <w:left w:w="108" w:type="dxa"/>
              <w:right w:w="108" w:type="dxa"/>
            </w:tcMar>
          </w:tcPr>
          <w:p w14:paraId="432F2680">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06FAF88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16076C8C">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权利仓持仓量</w:t>
            </w:r>
          </w:p>
        </w:tc>
        <w:tc>
          <w:tcPr>
            <w:tcW w:w="1112" w:type="dxa"/>
            <w:tcBorders>
              <w:top w:val="nil"/>
              <w:left w:val="nil"/>
              <w:bottom w:val="single" w:color="auto" w:sz="8" w:space="0"/>
              <w:right w:val="single" w:color="auto" w:sz="8" w:space="0"/>
            </w:tcBorders>
            <w:shd w:val="clear" w:color="auto" w:fill="FFFFFF"/>
            <w:tcMar>
              <w:left w:w="108" w:type="dxa"/>
              <w:right w:w="108" w:type="dxa"/>
            </w:tcMar>
          </w:tcPr>
          <w:p w14:paraId="2EE8866A">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420" w:type="dxa"/>
            <w:tcBorders>
              <w:top w:val="nil"/>
              <w:left w:val="nil"/>
              <w:bottom w:val="single" w:color="auto" w:sz="8" w:space="0"/>
              <w:right w:val="single" w:color="auto" w:sz="8" w:space="0"/>
            </w:tcBorders>
            <w:shd w:val="clear" w:color="auto" w:fill="FFFFFF"/>
            <w:tcMar>
              <w:left w:w="108" w:type="dxa"/>
              <w:right w:w="108" w:type="dxa"/>
            </w:tcMar>
          </w:tcPr>
          <w:p w14:paraId="41E34B73">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义务仓持仓量</w:t>
            </w:r>
          </w:p>
        </w:tc>
        <w:tc>
          <w:tcPr>
            <w:tcW w:w="951" w:type="dxa"/>
            <w:tcBorders>
              <w:top w:val="nil"/>
              <w:left w:val="nil"/>
              <w:bottom w:val="single" w:color="auto" w:sz="8" w:space="0"/>
              <w:right w:val="single" w:color="auto" w:sz="8" w:space="0"/>
            </w:tcBorders>
            <w:shd w:val="clear" w:color="auto" w:fill="FFFFFF"/>
            <w:tcMar>
              <w:left w:w="108" w:type="dxa"/>
              <w:right w:w="108" w:type="dxa"/>
            </w:tcMar>
          </w:tcPr>
          <w:p w14:paraId="75FA4C1E">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560" w:type="dxa"/>
            <w:gridSpan w:val="2"/>
            <w:tcBorders>
              <w:top w:val="nil"/>
              <w:left w:val="nil"/>
              <w:bottom w:val="single" w:color="auto" w:sz="8" w:space="0"/>
              <w:right w:val="single" w:color="auto" w:sz="8" w:space="0"/>
            </w:tcBorders>
            <w:shd w:val="clear" w:color="auto" w:fill="FFFFFF"/>
            <w:tcMar>
              <w:left w:w="108" w:type="dxa"/>
              <w:right w:w="108" w:type="dxa"/>
            </w:tcMar>
          </w:tcPr>
          <w:p w14:paraId="5E935AF4">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备兑持仓</w:t>
            </w:r>
          </w:p>
        </w:tc>
        <w:tc>
          <w:tcPr>
            <w:tcW w:w="1751" w:type="dxa"/>
            <w:tcBorders>
              <w:top w:val="nil"/>
              <w:left w:val="nil"/>
              <w:bottom w:val="single" w:color="auto" w:sz="8" w:space="0"/>
              <w:right w:val="single" w:color="auto" w:sz="8" w:space="0"/>
            </w:tcBorders>
            <w:shd w:val="clear" w:color="auto" w:fill="FFFFFF"/>
            <w:tcMar>
              <w:left w:w="108" w:type="dxa"/>
              <w:right w:w="108" w:type="dxa"/>
            </w:tcMar>
          </w:tcPr>
          <w:p w14:paraId="315408DA">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20D8CDE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4BA5C1FD">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持仓意向（含行权意愿与可能被行权准备情况说明）</w:t>
            </w:r>
          </w:p>
        </w:tc>
        <w:tc>
          <w:tcPr>
            <w:tcW w:w="6794" w:type="dxa"/>
            <w:gridSpan w:val="6"/>
            <w:tcBorders>
              <w:top w:val="nil"/>
              <w:left w:val="nil"/>
              <w:bottom w:val="single" w:color="auto" w:sz="8" w:space="0"/>
              <w:right w:val="single" w:color="auto" w:sz="8" w:space="0"/>
            </w:tcBorders>
            <w:shd w:val="clear" w:color="auto" w:fill="FFFFFF"/>
            <w:tcMar>
              <w:left w:w="108" w:type="dxa"/>
              <w:right w:w="108" w:type="dxa"/>
            </w:tcMar>
          </w:tcPr>
          <w:p w14:paraId="626DBF0C">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p w14:paraId="6108EBDA">
            <w:pPr>
              <w:keepNext/>
              <w:keepLines/>
              <w:widowControl/>
              <w:spacing w:before="100" w:beforeAutospacing="1" w:after="100" w:afterAutospacing="1"/>
              <w:outlineLvl w:val="2"/>
              <w:rPr>
                <w:rFonts w:ascii="仿宋_GB2312" w:hAnsi="Times New Roman" w:eastAsia="仿宋_GB2312" w:cs="宋体"/>
                <w:kern w:val="0"/>
                <w:sz w:val="24"/>
                <w:szCs w:val="28"/>
              </w:rPr>
            </w:pPr>
          </w:p>
        </w:tc>
      </w:tr>
      <w:tr w14:paraId="286DF03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4BD9E4D5">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合约编码2</w:t>
            </w:r>
          </w:p>
        </w:tc>
        <w:tc>
          <w:tcPr>
            <w:tcW w:w="2532" w:type="dxa"/>
            <w:gridSpan w:val="2"/>
            <w:tcBorders>
              <w:top w:val="nil"/>
              <w:left w:val="nil"/>
              <w:bottom w:val="single" w:color="auto" w:sz="8" w:space="0"/>
              <w:right w:val="single" w:color="auto" w:sz="8" w:space="0"/>
            </w:tcBorders>
            <w:shd w:val="clear" w:color="auto" w:fill="FFFFFF"/>
            <w:tcMar>
              <w:left w:w="108" w:type="dxa"/>
              <w:right w:w="108" w:type="dxa"/>
            </w:tcMar>
          </w:tcPr>
          <w:p w14:paraId="49FDBA1E">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2511" w:type="dxa"/>
            <w:gridSpan w:val="3"/>
            <w:tcBorders>
              <w:top w:val="nil"/>
              <w:left w:val="nil"/>
              <w:bottom w:val="single" w:color="auto" w:sz="8" w:space="0"/>
              <w:right w:val="single" w:color="auto" w:sz="8" w:space="0"/>
            </w:tcBorders>
            <w:shd w:val="clear" w:color="auto" w:fill="FFFFFF"/>
            <w:tcMar>
              <w:left w:w="108" w:type="dxa"/>
              <w:right w:w="108" w:type="dxa"/>
            </w:tcMar>
          </w:tcPr>
          <w:p w14:paraId="4A8006F2">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占用保证金（万元）</w:t>
            </w:r>
          </w:p>
        </w:tc>
        <w:tc>
          <w:tcPr>
            <w:tcW w:w="1751" w:type="dxa"/>
            <w:tcBorders>
              <w:top w:val="nil"/>
              <w:left w:val="nil"/>
              <w:bottom w:val="single" w:color="auto" w:sz="8" w:space="0"/>
              <w:right w:val="single" w:color="auto" w:sz="8" w:space="0"/>
            </w:tcBorders>
            <w:shd w:val="clear" w:color="auto" w:fill="FFFFFF"/>
            <w:tcMar>
              <w:left w:w="108" w:type="dxa"/>
              <w:right w:w="108" w:type="dxa"/>
            </w:tcMar>
          </w:tcPr>
          <w:p w14:paraId="4762CBC9">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2431633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6F365221">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权利仓持仓量</w:t>
            </w:r>
          </w:p>
        </w:tc>
        <w:tc>
          <w:tcPr>
            <w:tcW w:w="1112" w:type="dxa"/>
            <w:tcBorders>
              <w:top w:val="nil"/>
              <w:left w:val="nil"/>
              <w:bottom w:val="single" w:color="auto" w:sz="8" w:space="0"/>
              <w:right w:val="single" w:color="auto" w:sz="8" w:space="0"/>
            </w:tcBorders>
            <w:shd w:val="clear" w:color="auto" w:fill="FFFFFF"/>
            <w:tcMar>
              <w:left w:w="108" w:type="dxa"/>
              <w:right w:w="108" w:type="dxa"/>
            </w:tcMar>
          </w:tcPr>
          <w:p w14:paraId="1C97A2D9">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420" w:type="dxa"/>
            <w:tcBorders>
              <w:top w:val="nil"/>
              <w:left w:val="nil"/>
              <w:bottom w:val="single" w:color="auto" w:sz="8" w:space="0"/>
              <w:right w:val="single" w:color="auto" w:sz="8" w:space="0"/>
            </w:tcBorders>
            <w:shd w:val="clear" w:color="auto" w:fill="FFFFFF"/>
            <w:tcMar>
              <w:left w:w="108" w:type="dxa"/>
              <w:right w:w="108" w:type="dxa"/>
            </w:tcMar>
          </w:tcPr>
          <w:p w14:paraId="550D543E">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义务仓持仓量</w:t>
            </w:r>
          </w:p>
        </w:tc>
        <w:tc>
          <w:tcPr>
            <w:tcW w:w="951" w:type="dxa"/>
            <w:tcBorders>
              <w:top w:val="nil"/>
              <w:left w:val="nil"/>
              <w:bottom w:val="single" w:color="auto" w:sz="8" w:space="0"/>
              <w:right w:val="single" w:color="auto" w:sz="8" w:space="0"/>
            </w:tcBorders>
            <w:shd w:val="clear" w:color="auto" w:fill="FFFFFF"/>
            <w:tcMar>
              <w:left w:w="108" w:type="dxa"/>
              <w:right w:w="108" w:type="dxa"/>
            </w:tcMar>
          </w:tcPr>
          <w:p w14:paraId="1E253486">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560" w:type="dxa"/>
            <w:gridSpan w:val="2"/>
            <w:tcBorders>
              <w:top w:val="nil"/>
              <w:left w:val="nil"/>
              <w:bottom w:val="single" w:color="auto" w:sz="8" w:space="0"/>
              <w:right w:val="single" w:color="auto" w:sz="8" w:space="0"/>
            </w:tcBorders>
            <w:shd w:val="clear" w:color="auto" w:fill="FFFFFF"/>
            <w:tcMar>
              <w:left w:w="108" w:type="dxa"/>
              <w:right w:w="108" w:type="dxa"/>
            </w:tcMar>
          </w:tcPr>
          <w:p w14:paraId="5569CAB3">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备兑持仓</w:t>
            </w:r>
          </w:p>
        </w:tc>
        <w:tc>
          <w:tcPr>
            <w:tcW w:w="1751" w:type="dxa"/>
            <w:tcBorders>
              <w:top w:val="nil"/>
              <w:left w:val="nil"/>
              <w:bottom w:val="single" w:color="auto" w:sz="8" w:space="0"/>
              <w:right w:val="single" w:color="auto" w:sz="8" w:space="0"/>
            </w:tcBorders>
            <w:shd w:val="clear" w:color="auto" w:fill="FFFFFF"/>
            <w:tcMar>
              <w:left w:w="108" w:type="dxa"/>
              <w:right w:w="108" w:type="dxa"/>
            </w:tcMar>
          </w:tcPr>
          <w:p w14:paraId="7F206109">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7D387F3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731" w:hRule="atLeast"/>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53045723">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持仓意向（含行权意愿与可能被行权准备情况说明）</w:t>
            </w:r>
          </w:p>
        </w:tc>
        <w:tc>
          <w:tcPr>
            <w:tcW w:w="6794" w:type="dxa"/>
            <w:gridSpan w:val="6"/>
            <w:tcBorders>
              <w:top w:val="nil"/>
              <w:left w:val="nil"/>
              <w:bottom w:val="single" w:color="auto" w:sz="8" w:space="0"/>
              <w:right w:val="single" w:color="auto" w:sz="8" w:space="0"/>
            </w:tcBorders>
            <w:shd w:val="clear" w:color="auto" w:fill="FFFFFF"/>
            <w:tcMar>
              <w:left w:w="108" w:type="dxa"/>
              <w:right w:w="108" w:type="dxa"/>
            </w:tcMar>
          </w:tcPr>
          <w:p w14:paraId="2D1572A2">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p w14:paraId="3FD62829">
            <w:pPr>
              <w:keepNext/>
              <w:keepLines/>
              <w:widowControl/>
              <w:spacing w:before="100" w:beforeAutospacing="1" w:after="100" w:afterAutospacing="1"/>
              <w:outlineLvl w:val="2"/>
              <w:rPr>
                <w:rFonts w:ascii="仿宋_GB2312" w:hAnsi="Times New Roman" w:eastAsia="仿宋_GB2312" w:cs="宋体"/>
                <w:kern w:val="0"/>
                <w:sz w:val="24"/>
                <w:szCs w:val="28"/>
              </w:rPr>
            </w:pPr>
          </w:p>
        </w:tc>
      </w:tr>
      <w:tr w14:paraId="194E4D25">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66BDC9EB">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合约编码3</w:t>
            </w:r>
          </w:p>
        </w:tc>
        <w:tc>
          <w:tcPr>
            <w:tcW w:w="2532" w:type="dxa"/>
            <w:gridSpan w:val="2"/>
            <w:tcBorders>
              <w:top w:val="nil"/>
              <w:left w:val="nil"/>
              <w:bottom w:val="single" w:color="auto" w:sz="8" w:space="0"/>
              <w:right w:val="single" w:color="auto" w:sz="8" w:space="0"/>
            </w:tcBorders>
            <w:shd w:val="clear" w:color="auto" w:fill="FFFFFF"/>
            <w:tcMar>
              <w:left w:w="108" w:type="dxa"/>
              <w:right w:w="108" w:type="dxa"/>
            </w:tcMar>
          </w:tcPr>
          <w:p w14:paraId="7C489659">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2511" w:type="dxa"/>
            <w:gridSpan w:val="3"/>
            <w:tcBorders>
              <w:top w:val="nil"/>
              <w:left w:val="nil"/>
              <w:bottom w:val="single" w:color="auto" w:sz="8" w:space="0"/>
              <w:right w:val="single" w:color="auto" w:sz="8" w:space="0"/>
            </w:tcBorders>
            <w:shd w:val="clear" w:color="auto" w:fill="FFFFFF"/>
            <w:tcMar>
              <w:left w:w="108" w:type="dxa"/>
              <w:right w:w="108" w:type="dxa"/>
            </w:tcMar>
          </w:tcPr>
          <w:p w14:paraId="02F399A2">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占用保证金（万元）</w:t>
            </w:r>
          </w:p>
        </w:tc>
        <w:tc>
          <w:tcPr>
            <w:tcW w:w="1751" w:type="dxa"/>
            <w:tcBorders>
              <w:top w:val="nil"/>
              <w:left w:val="nil"/>
              <w:bottom w:val="single" w:color="auto" w:sz="8" w:space="0"/>
              <w:right w:val="single" w:color="auto" w:sz="8" w:space="0"/>
            </w:tcBorders>
            <w:shd w:val="clear" w:color="auto" w:fill="FFFFFF"/>
            <w:tcMar>
              <w:left w:w="108" w:type="dxa"/>
              <w:right w:w="108" w:type="dxa"/>
            </w:tcMar>
          </w:tcPr>
          <w:p w14:paraId="5A9E7787">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19A0417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5FED4F23">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权利仓持仓量</w:t>
            </w:r>
          </w:p>
        </w:tc>
        <w:tc>
          <w:tcPr>
            <w:tcW w:w="1112" w:type="dxa"/>
            <w:tcBorders>
              <w:top w:val="nil"/>
              <w:left w:val="nil"/>
              <w:bottom w:val="single" w:color="auto" w:sz="8" w:space="0"/>
              <w:right w:val="single" w:color="auto" w:sz="8" w:space="0"/>
            </w:tcBorders>
            <w:shd w:val="clear" w:color="auto" w:fill="FFFFFF"/>
            <w:tcMar>
              <w:left w:w="108" w:type="dxa"/>
              <w:right w:w="108" w:type="dxa"/>
            </w:tcMar>
          </w:tcPr>
          <w:p w14:paraId="530279FF">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420" w:type="dxa"/>
            <w:tcBorders>
              <w:top w:val="nil"/>
              <w:left w:val="nil"/>
              <w:bottom w:val="single" w:color="auto" w:sz="8" w:space="0"/>
              <w:right w:val="single" w:color="auto" w:sz="8" w:space="0"/>
            </w:tcBorders>
            <w:shd w:val="clear" w:color="auto" w:fill="FFFFFF"/>
            <w:tcMar>
              <w:left w:w="108" w:type="dxa"/>
              <w:right w:w="108" w:type="dxa"/>
            </w:tcMar>
          </w:tcPr>
          <w:p w14:paraId="68B26AA1">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义务仓持仓量</w:t>
            </w:r>
          </w:p>
        </w:tc>
        <w:tc>
          <w:tcPr>
            <w:tcW w:w="951" w:type="dxa"/>
            <w:tcBorders>
              <w:top w:val="nil"/>
              <w:left w:val="nil"/>
              <w:bottom w:val="single" w:color="auto" w:sz="8" w:space="0"/>
              <w:right w:val="single" w:color="auto" w:sz="8" w:space="0"/>
            </w:tcBorders>
            <w:shd w:val="clear" w:color="auto" w:fill="FFFFFF"/>
            <w:tcMar>
              <w:left w:w="108" w:type="dxa"/>
              <w:right w:w="108" w:type="dxa"/>
            </w:tcMar>
          </w:tcPr>
          <w:p w14:paraId="114B19F2">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560" w:type="dxa"/>
            <w:gridSpan w:val="2"/>
            <w:tcBorders>
              <w:top w:val="nil"/>
              <w:left w:val="nil"/>
              <w:bottom w:val="single" w:color="auto" w:sz="8" w:space="0"/>
              <w:right w:val="single" w:color="auto" w:sz="8" w:space="0"/>
            </w:tcBorders>
            <w:shd w:val="clear" w:color="auto" w:fill="FFFFFF"/>
            <w:tcMar>
              <w:left w:w="108" w:type="dxa"/>
              <w:right w:w="108" w:type="dxa"/>
            </w:tcMar>
          </w:tcPr>
          <w:p w14:paraId="2322EB24">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备兑持仓</w:t>
            </w:r>
          </w:p>
        </w:tc>
        <w:tc>
          <w:tcPr>
            <w:tcW w:w="1751" w:type="dxa"/>
            <w:tcBorders>
              <w:top w:val="nil"/>
              <w:left w:val="nil"/>
              <w:bottom w:val="single" w:color="auto" w:sz="8" w:space="0"/>
              <w:right w:val="single" w:color="auto" w:sz="8" w:space="0"/>
            </w:tcBorders>
            <w:shd w:val="clear" w:color="auto" w:fill="FFFFFF"/>
            <w:tcMar>
              <w:left w:w="108" w:type="dxa"/>
              <w:right w:w="108" w:type="dxa"/>
            </w:tcMar>
          </w:tcPr>
          <w:p w14:paraId="66758D16">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25FEF9B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6FF85783">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持仓意向（含行权意愿与可能被行权准备情况说明）</w:t>
            </w:r>
          </w:p>
        </w:tc>
        <w:tc>
          <w:tcPr>
            <w:tcW w:w="6794" w:type="dxa"/>
            <w:gridSpan w:val="6"/>
            <w:tcBorders>
              <w:top w:val="nil"/>
              <w:left w:val="nil"/>
              <w:bottom w:val="single" w:color="auto" w:sz="8" w:space="0"/>
              <w:right w:val="single" w:color="auto" w:sz="8" w:space="0"/>
            </w:tcBorders>
            <w:shd w:val="clear" w:color="auto" w:fill="FFFFFF"/>
            <w:tcMar>
              <w:left w:w="108" w:type="dxa"/>
              <w:right w:w="108" w:type="dxa"/>
            </w:tcMar>
          </w:tcPr>
          <w:p w14:paraId="03B0F387">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p w14:paraId="1BEE51D7">
            <w:pPr>
              <w:keepNext/>
              <w:keepLines/>
              <w:widowControl/>
              <w:spacing w:before="100" w:beforeAutospacing="1" w:after="100" w:afterAutospacing="1"/>
              <w:outlineLvl w:val="2"/>
              <w:rPr>
                <w:rFonts w:ascii="仿宋_GB2312" w:hAnsi="Times New Roman" w:eastAsia="仿宋_GB2312" w:cs="宋体"/>
                <w:kern w:val="0"/>
                <w:sz w:val="24"/>
                <w:szCs w:val="28"/>
              </w:rPr>
            </w:pPr>
          </w:p>
        </w:tc>
      </w:tr>
      <w:tr w14:paraId="6ACC301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67331E64">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总持仓保证金</w:t>
            </w:r>
          </w:p>
        </w:tc>
        <w:tc>
          <w:tcPr>
            <w:tcW w:w="1112" w:type="dxa"/>
            <w:tcBorders>
              <w:top w:val="nil"/>
              <w:left w:val="nil"/>
              <w:bottom w:val="single" w:color="auto" w:sz="8" w:space="0"/>
              <w:right w:val="single" w:color="auto" w:sz="8" w:space="0"/>
            </w:tcBorders>
            <w:shd w:val="clear" w:color="auto" w:fill="FFFFFF"/>
            <w:tcMar>
              <w:left w:w="108" w:type="dxa"/>
              <w:right w:w="108" w:type="dxa"/>
            </w:tcMar>
          </w:tcPr>
          <w:p w14:paraId="1A7A58AA">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420" w:type="dxa"/>
            <w:tcBorders>
              <w:top w:val="nil"/>
              <w:left w:val="nil"/>
              <w:bottom w:val="single" w:color="auto" w:sz="8" w:space="0"/>
              <w:right w:val="single" w:color="auto" w:sz="8" w:space="0"/>
            </w:tcBorders>
            <w:shd w:val="clear" w:color="auto" w:fill="FFFFFF"/>
            <w:tcMar>
              <w:left w:w="108" w:type="dxa"/>
              <w:right w:w="108" w:type="dxa"/>
            </w:tcMar>
          </w:tcPr>
          <w:p w14:paraId="67BE11AE">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资金规模</w:t>
            </w:r>
          </w:p>
        </w:tc>
        <w:tc>
          <w:tcPr>
            <w:tcW w:w="951" w:type="dxa"/>
            <w:tcBorders>
              <w:top w:val="nil"/>
              <w:left w:val="nil"/>
              <w:bottom w:val="single" w:color="auto" w:sz="8" w:space="0"/>
              <w:right w:val="single" w:color="auto" w:sz="8" w:space="0"/>
            </w:tcBorders>
            <w:shd w:val="clear" w:color="auto" w:fill="FFFFFF"/>
            <w:tcMar>
              <w:left w:w="108" w:type="dxa"/>
              <w:right w:w="108" w:type="dxa"/>
            </w:tcMar>
          </w:tcPr>
          <w:p w14:paraId="45406411">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560" w:type="dxa"/>
            <w:gridSpan w:val="2"/>
            <w:tcBorders>
              <w:top w:val="nil"/>
              <w:left w:val="nil"/>
              <w:bottom w:val="single" w:color="auto" w:sz="8" w:space="0"/>
              <w:right w:val="single" w:color="auto" w:sz="8" w:space="0"/>
            </w:tcBorders>
            <w:shd w:val="clear" w:color="auto" w:fill="FFFFFF"/>
            <w:tcMar>
              <w:left w:w="108" w:type="dxa"/>
              <w:right w:w="108" w:type="dxa"/>
            </w:tcMar>
          </w:tcPr>
          <w:p w14:paraId="12C3C645">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实际控制人</w:t>
            </w:r>
          </w:p>
        </w:tc>
        <w:tc>
          <w:tcPr>
            <w:tcW w:w="1751" w:type="dxa"/>
            <w:tcBorders>
              <w:top w:val="nil"/>
              <w:left w:val="nil"/>
              <w:bottom w:val="single" w:color="auto" w:sz="8" w:space="0"/>
              <w:right w:val="single" w:color="auto" w:sz="8" w:space="0"/>
            </w:tcBorders>
            <w:shd w:val="clear" w:color="auto" w:fill="FFFFFF"/>
            <w:tcMar>
              <w:left w:w="108" w:type="dxa"/>
              <w:right w:w="108" w:type="dxa"/>
            </w:tcMar>
          </w:tcPr>
          <w:p w14:paraId="55C298C3">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67F6957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320B1F23">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证券担保物情况</w:t>
            </w:r>
          </w:p>
        </w:tc>
        <w:tc>
          <w:tcPr>
            <w:tcW w:w="6794" w:type="dxa"/>
            <w:gridSpan w:val="6"/>
            <w:tcBorders>
              <w:top w:val="nil"/>
              <w:left w:val="nil"/>
              <w:bottom w:val="single" w:color="auto" w:sz="8" w:space="0"/>
              <w:right w:val="single" w:color="auto" w:sz="8" w:space="0"/>
            </w:tcBorders>
            <w:shd w:val="clear" w:color="auto" w:fill="FFFFFF"/>
            <w:tcMar>
              <w:left w:w="108" w:type="dxa"/>
              <w:right w:w="108" w:type="dxa"/>
            </w:tcMar>
          </w:tcPr>
          <w:p w14:paraId="2E31C84D">
            <w:pPr>
              <w:keepNext/>
              <w:keepLines/>
              <w:widowControl/>
              <w:spacing w:before="100" w:beforeAutospacing="1" w:after="100" w:afterAutospacing="1"/>
              <w:outlineLvl w:val="2"/>
              <w:rPr>
                <w:rFonts w:ascii="仿宋_GB2312" w:hAnsi="Times New Roman" w:eastAsia="仿宋_GB2312" w:cs="宋体"/>
                <w:kern w:val="0"/>
                <w:sz w:val="24"/>
                <w:szCs w:val="28"/>
              </w:rPr>
            </w:pPr>
          </w:p>
        </w:tc>
      </w:tr>
      <w:tr w14:paraId="232DC8E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39091BA3">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持有其他期货期权品种情况说明</w:t>
            </w:r>
          </w:p>
        </w:tc>
        <w:tc>
          <w:tcPr>
            <w:tcW w:w="6794" w:type="dxa"/>
            <w:gridSpan w:val="6"/>
            <w:tcBorders>
              <w:top w:val="nil"/>
              <w:left w:val="nil"/>
              <w:bottom w:val="single" w:color="auto" w:sz="8" w:space="0"/>
              <w:right w:val="single" w:color="auto" w:sz="8" w:space="0"/>
            </w:tcBorders>
            <w:shd w:val="clear" w:color="auto" w:fill="FFFFFF"/>
            <w:tcMar>
              <w:left w:w="108" w:type="dxa"/>
              <w:right w:w="108" w:type="dxa"/>
            </w:tcMar>
          </w:tcPr>
          <w:p w14:paraId="786B94CA">
            <w:pPr>
              <w:keepNext/>
              <w:keepLines/>
              <w:widowControl/>
              <w:spacing w:before="100" w:beforeAutospacing="1" w:after="100" w:afterAutospacing="1"/>
              <w:outlineLvl w:val="2"/>
              <w:rPr>
                <w:rFonts w:ascii="仿宋_GB2312" w:hAnsi="Times New Roman" w:eastAsia="仿宋_GB2312" w:cs="宋体"/>
                <w:kern w:val="0"/>
                <w:sz w:val="24"/>
                <w:szCs w:val="28"/>
              </w:rPr>
            </w:pPr>
          </w:p>
        </w:tc>
      </w:tr>
      <w:tr w14:paraId="0018BCBC">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28F307A6">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资金来源</w:t>
            </w:r>
          </w:p>
        </w:tc>
        <w:tc>
          <w:tcPr>
            <w:tcW w:w="6794" w:type="dxa"/>
            <w:gridSpan w:val="6"/>
            <w:tcBorders>
              <w:top w:val="nil"/>
              <w:left w:val="nil"/>
              <w:bottom w:val="single" w:color="auto" w:sz="8" w:space="0"/>
              <w:right w:val="single" w:color="auto" w:sz="8" w:space="0"/>
            </w:tcBorders>
            <w:shd w:val="clear" w:color="auto" w:fill="FFFFFF"/>
            <w:tcMar>
              <w:left w:w="108" w:type="dxa"/>
              <w:right w:w="108" w:type="dxa"/>
            </w:tcMar>
          </w:tcPr>
          <w:p w14:paraId="2B3FAB3A">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p w14:paraId="3A61E23A">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156C425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887" w:type="dxa"/>
            <w:gridSpan w:val="7"/>
            <w:tcBorders>
              <w:top w:val="nil"/>
              <w:left w:val="single" w:color="auto" w:sz="8" w:space="0"/>
              <w:bottom w:val="single" w:color="auto" w:sz="8" w:space="0"/>
              <w:right w:val="single" w:color="auto" w:sz="8" w:space="0"/>
            </w:tcBorders>
            <w:shd w:val="clear" w:color="auto" w:fill="FFFFFF"/>
            <w:tcMar>
              <w:left w:w="108" w:type="dxa"/>
              <w:right w:w="108" w:type="dxa"/>
            </w:tcMar>
          </w:tcPr>
          <w:p w14:paraId="21D43AF5">
            <w:pPr>
              <w:widowControl/>
              <w:spacing w:before="100" w:beforeAutospacing="1" w:after="100" w:afterAutospacing="1"/>
              <w:ind w:firstLine="360"/>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本人（公司）保证以上报告内容的真实性和准确性，不存在任何故意虚假或者遗漏。</w:t>
            </w:r>
          </w:p>
          <w:p w14:paraId="78D48650">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r>
              <w:rPr>
                <w:rFonts w:hint="eastAsia" w:ascii="仿宋_GB2312" w:hAnsi="Times New Roman" w:eastAsia="仿宋_GB2312" w:cs="宋体"/>
                <w:kern w:val="0"/>
                <w:sz w:val="24"/>
                <w:szCs w:val="28"/>
              </w:rPr>
              <w:t>报告人签名：　　　　　　　　　　　　　　　　　</w:t>
            </w:r>
            <w:r>
              <w:rPr>
                <w:rFonts w:ascii="Times New Roman" w:hAnsi="Times New Roman" w:eastAsia="仿宋_GB2312" w:cs="宋体"/>
                <w:kern w:val="0"/>
                <w:sz w:val="24"/>
                <w:szCs w:val="28"/>
              </w:rPr>
              <w:t> </w:t>
            </w:r>
            <w:r>
              <w:rPr>
                <w:rFonts w:hint="eastAsia" w:ascii="仿宋_GB2312" w:hAnsi="Times New Roman" w:eastAsia="仿宋_GB2312" w:cs="宋体"/>
                <w:kern w:val="0"/>
                <w:sz w:val="24"/>
                <w:szCs w:val="28"/>
              </w:rPr>
              <w:t>　　　　　报告日期：　　　年　</w:t>
            </w:r>
            <w:r>
              <w:rPr>
                <w:rFonts w:ascii="Times New Roman" w:hAnsi="Times New Roman" w:eastAsia="仿宋_GB2312" w:cs="宋体"/>
                <w:kern w:val="0"/>
                <w:sz w:val="24"/>
                <w:szCs w:val="28"/>
              </w:rPr>
              <w:t> </w:t>
            </w:r>
            <w:r>
              <w:rPr>
                <w:rFonts w:hint="eastAsia" w:ascii="仿宋_GB2312" w:hAnsi="Times New Roman" w:eastAsia="仿宋_GB2312" w:cs="宋体"/>
                <w:kern w:val="0"/>
                <w:sz w:val="24"/>
                <w:szCs w:val="28"/>
              </w:rPr>
              <w:t>月　</w:t>
            </w:r>
            <w:r>
              <w:rPr>
                <w:rFonts w:ascii="Times New Roman" w:hAnsi="Times New Roman" w:eastAsia="仿宋_GB2312" w:cs="宋体"/>
                <w:kern w:val="0"/>
                <w:sz w:val="24"/>
                <w:szCs w:val="28"/>
              </w:rPr>
              <w:t> </w:t>
            </w:r>
            <w:r>
              <w:rPr>
                <w:rFonts w:hint="eastAsia" w:ascii="仿宋_GB2312" w:hAnsi="Times New Roman" w:eastAsia="仿宋_GB2312" w:cs="宋体"/>
                <w:kern w:val="0"/>
                <w:sz w:val="24"/>
                <w:szCs w:val="28"/>
              </w:rPr>
              <w:t>日</w:t>
            </w:r>
          </w:p>
        </w:tc>
      </w:tr>
      <w:tr w14:paraId="19F063D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1F7AA6D2">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期货公司名称</w:t>
            </w:r>
          </w:p>
        </w:tc>
        <w:tc>
          <w:tcPr>
            <w:tcW w:w="2532" w:type="dxa"/>
            <w:gridSpan w:val="2"/>
            <w:tcBorders>
              <w:top w:val="nil"/>
              <w:left w:val="nil"/>
              <w:bottom w:val="single" w:color="auto" w:sz="8" w:space="0"/>
              <w:right w:val="single" w:color="auto" w:sz="8" w:space="0"/>
            </w:tcBorders>
            <w:shd w:val="clear" w:color="auto" w:fill="FFFFFF"/>
            <w:tcMar>
              <w:left w:w="108" w:type="dxa"/>
              <w:right w:w="108" w:type="dxa"/>
            </w:tcMar>
          </w:tcPr>
          <w:p w14:paraId="27FD15D1">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518" w:type="dxa"/>
            <w:gridSpan w:val="2"/>
            <w:tcBorders>
              <w:top w:val="nil"/>
              <w:left w:val="nil"/>
              <w:bottom w:val="single" w:color="auto" w:sz="8" w:space="0"/>
              <w:right w:val="single" w:color="auto" w:sz="8" w:space="0"/>
            </w:tcBorders>
            <w:shd w:val="clear" w:color="auto" w:fill="FFFFFF"/>
            <w:tcMar>
              <w:left w:w="108" w:type="dxa"/>
              <w:right w:w="108" w:type="dxa"/>
            </w:tcMar>
          </w:tcPr>
          <w:p w14:paraId="171BF7C8">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期货公司代码</w:t>
            </w:r>
          </w:p>
        </w:tc>
        <w:tc>
          <w:tcPr>
            <w:tcW w:w="2744" w:type="dxa"/>
            <w:gridSpan w:val="2"/>
            <w:tcBorders>
              <w:top w:val="nil"/>
              <w:left w:val="nil"/>
              <w:bottom w:val="single" w:color="auto" w:sz="8" w:space="0"/>
              <w:right w:val="single" w:color="auto" w:sz="8" w:space="0"/>
            </w:tcBorders>
            <w:shd w:val="clear" w:color="auto" w:fill="FFFFFF"/>
            <w:tcMar>
              <w:left w:w="108" w:type="dxa"/>
              <w:right w:w="108" w:type="dxa"/>
            </w:tcMar>
          </w:tcPr>
          <w:p w14:paraId="3B7ADB2F">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541365BE">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093" w:type="dxa"/>
            <w:tcBorders>
              <w:top w:val="nil"/>
              <w:left w:val="single" w:color="auto" w:sz="8" w:space="0"/>
              <w:bottom w:val="single" w:color="auto" w:sz="8" w:space="0"/>
              <w:right w:val="single" w:color="auto" w:sz="8" w:space="0"/>
            </w:tcBorders>
            <w:shd w:val="clear" w:color="auto" w:fill="FFFFFF"/>
            <w:tcMar>
              <w:left w:w="108" w:type="dxa"/>
              <w:right w:w="108" w:type="dxa"/>
            </w:tcMar>
          </w:tcPr>
          <w:p w14:paraId="1300D3C5">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投资者开户日期</w:t>
            </w:r>
          </w:p>
        </w:tc>
        <w:tc>
          <w:tcPr>
            <w:tcW w:w="2532" w:type="dxa"/>
            <w:gridSpan w:val="2"/>
            <w:tcBorders>
              <w:top w:val="nil"/>
              <w:left w:val="nil"/>
              <w:bottom w:val="single" w:color="auto" w:sz="8" w:space="0"/>
              <w:right w:val="single" w:color="auto" w:sz="8" w:space="0"/>
            </w:tcBorders>
            <w:shd w:val="clear" w:color="auto" w:fill="FFFFFF"/>
            <w:tcMar>
              <w:left w:w="108" w:type="dxa"/>
              <w:right w:w="108" w:type="dxa"/>
            </w:tcMar>
          </w:tcPr>
          <w:p w14:paraId="3FD78D73">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c>
          <w:tcPr>
            <w:tcW w:w="1518" w:type="dxa"/>
            <w:gridSpan w:val="2"/>
            <w:tcBorders>
              <w:top w:val="nil"/>
              <w:left w:val="nil"/>
              <w:bottom w:val="single" w:color="auto" w:sz="8" w:space="0"/>
              <w:right w:val="single" w:color="auto" w:sz="8" w:space="0"/>
            </w:tcBorders>
            <w:shd w:val="clear" w:color="auto" w:fill="FFFFFF"/>
            <w:tcMar>
              <w:left w:w="108" w:type="dxa"/>
              <w:right w:w="108" w:type="dxa"/>
            </w:tcMar>
          </w:tcPr>
          <w:p w14:paraId="62CC78FE">
            <w:pPr>
              <w:widowControl/>
              <w:spacing w:before="100" w:beforeAutospacing="1" w:after="100" w:afterAutospacing="1"/>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投资者交易方式</w:t>
            </w:r>
          </w:p>
        </w:tc>
        <w:tc>
          <w:tcPr>
            <w:tcW w:w="2744" w:type="dxa"/>
            <w:gridSpan w:val="2"/>
            <w:tcBorders>
              <w:top w:val="nil"/>
              <w:left w:val="nil"/>
              <w:bottom w:val="single" w:color="auto" w:sz="8" w:space="0"/>
              <w:right w:val="single" w:color="auto" w:sz="8" w:space="0"/>
            </w:tcBorders>
            <w:shd w:val="clear" w:color="auto" w:fill="FFFFFF"/>
            <w:tcMar>
              <w:left w:w="108" w:type="dxa"/>
              <w:right w:w="108" w:type="dxa"/>
            </w:tcMar>
          </w:tcPr>
          <w:p w14:paraId="1A5BC1E8">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tc>
      </w:tr>
      <w:tr w14:paraId="43C2B2AE">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887" w:type="dxa"/>
            <w:gridSpan w:val="7"/>
            <w:tcBorders>
              <w:top w:val="nil"/>
              <w:left w:val="single" w:color="auto" w:sz="8" w:space="0"/>
              <w:bottom w:val="single" w:color="auto" w:sz="8" w:space="0"/>
              <w:right w:val="single" w:color="auto" w:sz="8" w:space="0"/>
            </w:tcBorders>
            <w:shd w:val="clear" w:color="auto" w:fill="FFFFFF"/>
            <w:tcMar>
              <w:left w:w="108" w:type="dxa"/>
              <w:right w:w="108" w:type="dxa"/>
            </w:tcMar>
          </w:tcPr>
          <w:p w14:paraId="35FFEBAC">
            <w:pPr>
              <w:widowControl/>
              <w:spacing w:before="100" w:beforeAutospacing="1" w:after="100" w:afterAutospacing="1"/>
              <w:ind w:firstLine="360"/>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经审核，本公司保证本报告所有内容的真实性和准确性，不存在任何隐瞒或者遗漏。</w:t>
            </w:r>
          </w:p>
          <w:p w14:paraId="152D0F3D">
            <w:pPr>
              <w:widowControl/>
              <w:spacing w:before="100" w:beforeAutospacing="1" w:after="100" w:afterAutospacing="1"/>
              <w:rPr>
                <w:rFonts w:ascii="仿宋_GB2312" w:hAnsi="Times New Roman" w:eastAsia="仿宋_GB2312" w:cs="宋体"/>
                <w:kern w:val="0"/>
                <w:sz w:val="24"/>
                <w:szCs w:val="28"/>
              </w:rPr>
            </w:pPr>
            <w:r>
              <w:rPr>
                <w:rFonts w:ascii="Times New Roman" w:hAnsi="Times New Roman" w:eastAsia="仿宋_GB2312" w:cs="宋体"/>
                <w:kern w:val="0"/>
                <w:sz w:val="24"/>
                <w:szCs w:val="28"/>
              </w:rPr>
              <w:t> </w:t>
            </w:r>
          </w:p>
          <w:p w14:paraId="53956424">
            <w:pPr>
              <w:widowControl/>
              <w:spacing w:before="100" w:beforeAutospacing="1" w:after="100" w:afterAutospacing="1"/>
              <w:jc w:val="right"/>
              <w:rPr>
                <w:rFonts w:ascii="仿宋_GB2312" w:hAnsi="Times New Roman" w:eastAsia="仿宋_GB2312" w:cs="宋体"/>
                <w:kern w:val="0"/>
                <w:sz w:val="24"/>
                <w:szCs w:val="28"/>
              </w:rPr>
            </w:pPr>
            <w:r>
              <w:rPr>
                <w:rFonts w:hint="eastAsia" w:ascii="仿宋_GB2312" w:hAnsi="Times New Roman" w:eastAsia="仿宋_GB2312" w:cs="宋体"/>
                <w:kern w:val="0"/>
                <w:sz w:val="24"/>
                <w:szCs w:val="28"/>
              </w:rPr>
              <w:t>期货公司单位盖章：　　　　　　　　　　　　　　　　　　　　　　　报告日期：　　　年　</w:t>
            </w:r>
            <w:r>
              <w:rPr>
                <w:rFonts w:ascii="Times New Roman" w:hAnsi="Times New Roman" w:eastAsia="仿宋_GB2312" w:cs="宋体"/>
                <w:kern w:val="0"/>
                <w:sz w:val="24"/>
                <w:szCs w:val="28"/>
              </w:rPr>
              <w:t> </w:t>
            </w:r>
            <w:r>
              <w:rPr>
                <w:rFonts w:hint="eastAsia" w:ascii="仿宋_GB2312" w:hAnsi="Times New Roman" w:eastAsia="仿宋_GB2312" w:cs="宋体"/>
                <w:kern w:val="0"/>
                <w:sz w:val="24"/>
                <w:szCs w:val="28"/>
              </w:rPr>
              <w:t>月　</w:t>
            </w:r>
            <w:r>
              <w:rPr>
                <w:rFonts w:ascii="Times New Roman" w:hAnsi="Times New Roman" w:eastAsia="仿宋_GB2312" w:cs="宋体"/>
                <w:kern w:val="0"/>
                <w:sz w:val="24"/>
                <w:szCs w:val="28"/>
              </w:rPr>
              <w:t> </w:t>
            </w:r>
            <w:r>
              <w:rPr>
                <w:rFonts w:hint="eastAsia" w:ascii="仿宋_GB2312" w:hAnsi="Times New Roman" w:eastAsia="仿宋_GB2312" w:cs="宋体"/>
                <w:kern w:val="0"/>
                <w:sz w:val="24"/>
                <w:szCs w:val="28"/>
              </w:rPr>
              <w:t>日</w:t>
            </w:r>
          </w:p>
        </w:tc>
      </w:tr>
    </w:tbl>
    <w:p w14:paraId="1E5713A3">
      <w:pPr>
        <w:rPr>
          <w:rFonts w:hint="default" w:ascii="Times New Roman" w:hAnsi="Times New Roman"/>
        </w:rPr>
      </w:pPr>
      <w:bookmarkStart w:id="595" w:name="_Toc28696"/>
      <w:bookmarkStart w:id="596" w:name="_Toc23947045"/>
      <w:bookmarkStart w:id="597" w:name="_Toc23588"/>
      <w:bookmarkStart w:id="598" w:name="_Toc408749949"/>
      <w:bookmarkStart w:id="599" w:name="_Toc25944"/>
      <w:bookmarkStart w:id="600" w:name="_Toc9616"/>
      <w:r>
        <w:rPr>
          <w:rFonts w:hint="default" w:ascii="Times New Roman" w:hAnsi="Times New Roman"/>
        </w:rPr>
        <w:br w:type="page"/>
      </w:r>
    </w:p>
    <w:p w14:paraId="6706C690">
      <w:pPr>
        <w:pStyle w:val="4"/>
        <w:ind w:firstLine="601" w:firstLineChars="200"/>
        <w:jc w:val="both"/>
        <w:rPr>
          <w:rFonts w:hint="eastAsia" w:ascii="Times New Roman" w:hAnsi="Times New Roman"/>
          <w:lang w:val="en-US" w:eastAsia="zh-CN"/>
        </w:rPr>
      </w:pPr>
      <w:r>
        <w:rPr>
          <w:rFonts w:hint="default" w:ascii="Times New Roman" w:hAnsi="Times New Roman"/>
        </w:rPr>
        <w:t>附件</w:t>
      </w:r>
      <w:r>
        <w:rPr>
          <w:rFonts w:hint="eastAsia" w:ascii="Times New Roman" w:hAnsi="Times New Roman"/>
          <w:lang w:val="en-US" w:eastAsia="zh-CN"/>
        </w:rPr>
        <w:t>六</w:t>
      </w:r>
    </w:p>
    <w:p w14:paraId="647FE871">
      <w:pPr>
        <w:pStyle w:val="4"/>
        <w:jc w:val="center"/>
      </w:pPr>
      <w:r>
        <w:rPr>
          <w:rFonts w:hint="eastAsia"/>
        </w:rPr>
        <w:t>中间介绍业务协议范本</w:t>
      </w:r>
      <w:bookmarkEnd w:id="595"/>
      <w:bookmarkEnd w:id="596"/>
      <w:bookmarkEnd w:id="597"/>
      <w:bookmarkEnd w:id="598"/>
      <w:bookmarkEnd w:id="599"/>
      <w:bookmarkEnd w:id="600"/>
    </w:p>
    <w:p w14:paraId="66A945F3">
      <w:pPr>
        <w:autoSpaceDN w:val="0"/>
        <w:spacing w:line="480" w:lineRule="exact"/>
        <w:jc w:val="center"/>
        <w:rPr>
          <w:rFonts w:ascii="黑体" w:hAnsi="黑体" w:eastAsia="黑体"/>
          <w:sz w:val="44"/>
          <w:szCs w:val="44"/>
        </w:rPr>
      </w:pPr>
      <w:r>
        <w:rPr>
          <w:rFonts w:hint="eastAsia" w:ascii="黑体" w:hAnsi="黑体" w:eastAsia="黑体"/>
          <w:sz w:val="44"/>
          <w:szCs w:val="44"/>
        </w:rPr>
        <w:t>期货公司为期权经营机构提供股票期权</w:t>
      </w:r>
    </w:p>
    <w:p w14:paraId="4351F822">
      <w:pPr>
        <w:autoSpaceDN w:val="0"/>
        <w:spacing w:line="480" w:lineRule="exact"/>
        <w:jc w:val="center"/>
        <w:rPr>
          <w:rFonts w:hAnsi="宋体"/>
          <w:sz w:val="30"/>
          <w:szCs w:val="30"/>
        </w:rPr>
      </w:pPr>
      <w:r>
        <w:rPr>
          <w:rFonts w:hint="eastAsia" w:ascii="黑体" w:hAnsi="黑体" w:eastAsia="黑体"/>
          <w:sz w:val="44"/>
          <w:szCs w:val="44"/>
        </w:rPr>
        <w:t>中间</w:t>
      </w:r>
      <w:r>
        <w:rPr>
          <w:rFonts w:ascii="黑体" w:hAnsi="黑体" w:eastAsia="黑体"/>
          <w:sz w:val="44"/>
          <w:szCs w:val="44"/>
        </w:rPr>
        <w:t>介绍业务协议</w:t>
      </w:r>
      <w:r>
        <w:rPr>
          <w:rFonts w:hint="eastAsia" w:ascii="黑体" w:hAnsi="黑体" w:eastAsia="黑体"/>
          <w:sz w:val="44"/>
          <w:szCs w:val="44"/>
        </w:rPr>
        <w:t>参考范本</w:t>
      </w:r>
    </w:p>
    <w:p w14:paraId="46FAC21C">
      <w:pPr>
        <w:autoSpaceDN w:val="0"/>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 xml:space="preserve">甲方 : </w:t>
      </w:r>
      <w:r>
        <w:rPr>
          <w:rFonts w:ascii="仿宋_GB2312" w:hAnsi="仿宋_GB2312" w:eastAsia="仿宋_GB2312"/>
          <w:sz w:val="28"/>
          <w:szCs w:val="28"/>
          <w:u w:val="single"/>
        </w:rPr>
        <w:t xml:space="preserve">            </w:t>
      </w:r>
      <w:r>
        <w:rPr>
          <w:rFonts w:hint="eastAsia" w:ascii="仿宋_GB2312" w:hAnsi="仿宋_GB2312" w:eastAsia="仿宋_GB2312"/>
          <w:sz w:val="28"/>
          <w:szCs w:val="28"/>
          <w:u w:val="single"/>
        </w:rPr>
        <w:t>（</w:t>
      </w:r>
      <w:r>
        <w:rPr>
          <w:rFonts w:ascii="仿宋_GB2312" w:hAnsi="仿宋_GB2312" w:eastAsia="仿宋_GB2312"/>
          <w:sz w:val="28"/>
          <w:szCs w:val="28"/>
        </w:rPr>
        <w:t>期货公司</w:t>
      </w:r>
      <w:r>
        <w:rPr>
          <w:rFonts w:hint="eastAsia" w:ascii="仿宋_GB2312" w:hAnsi="仿宋_GB2312" w:eastAsia="仿宋_GB2312"/>
          <w:sz w:val="28"/>
          <w:szCs w:val="28"/>
        </w:rPr>
        <w:t>）</w:t>
      </w:r>
      <w:r>
        <w:rPr>
          <w:rFonts w:ascii="仿宋_GB2312" w:hAnsi="仿宋_GB2312" w:eastAsia="仿宋_GB2312"/>
          <w:sz w:val="28"/>
          <w:szCs w:val="28"/>
        </w:rPr>
        <w:t xml:space="preserve">                 </w:t>
      </w:r>
    </w:p>
    <w:p w14:paraId="43DA746A">
      <w:pPr>
        <w:autoSpaceDN w:val="0"/>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 xml:space="preserve">乙方 : </w:t>
      </w:r>
      <w:r>
        <w:rPr>
          <w:rFonts w:ascii="仿宋_GB2312" w:hAnsi="仿宋_GB2312" w:eastAsia="仿宋_GB2312"/>
          <w:sz w:val="28"/>
          <w:szCs w:val="28"/>
          <w:u w:val="single"/>
        </w:rPr>
        <w:t xml:space="preserve">            </w:t>
      </w:r>
      <w:r>
        <w:rPr>
          <w:rFonts w:hint="eastAsia" w:ascii="仿宋_GB2312" w:hAnsi="仿宋_GB2312" w:eastAsia="仿宋_GB2312"/>
          <w:sz w:val="28"/>
          <w:szCs w:val="28"/>
          <w:u w:val="single"/>
        </w:rPr>
        <w:t>（</w:t>
      </w:r>
      <w:r>
        <w:rPr>
          <w:rFonts w:ascii="仿宋_GB2312" w:hAnsi="仿宋_GB2312" w:eastAsia="仿宋_GB2312"/>
          <w:sz w:val="28"/>
          <w:szCs w:val="28"/>
        </w:rPr>
        <w:t>证券公司</w:t>
      </w:r>
      <w:r>
        <w:rPr>
          <w:rFonts w:hint="eastAsia" w:ascii="仿宋_GB2312" w:hAnsi="仿宋_GB2312" w:eastAsia="仿宋_GB2312"/>
          <w:sz w:val="28"/>
          <w:szCs w:val="28"/>
        </w:rPr>
        <w:t>或期货公司）</w:t>
      </w:r>
      <w:r>
        <w:rPr>
          <w:rFonts w:ascii="仿宋_GB2312" w:hAnsi="仿宋_GB2312" w:eastAsia="仿宋_GB2312"/>
          <w:sz w:val="28"/>
          <w:szCs w:val="28"/>
        </w:rPr>
        <w:t xml:space="preserve">   </w:t>
      </w:r>
    </w:p>
    <w:p w14:paraId="6E59624C">
      <w:pPr>
        <w:autoSpaceDN w:val="0"/>
        <w:spacing w:line="600" w:lineRule="exact"/>
        <w:ind w:firstLine="560" w:firstLineChars="200"/>
        <w:jc w:val="left"/>
        <w:rPr>
          <w:rFonts w:ascii="仿宋_GB2312" w:hAnsi="仿宋_GB2312" w:eastAsia="仿宋_GB2312"/>
          <w:sz w:val="28"/>
          <w:szCs w:val="28"/>
        </w:rPr>
      </w:pPr>
      <w:r>
        <w:rPr>
          <w:rFonts w:ascii="仿宋_GB2312" w:hAnsi="仿宋_GB2312" w:eastAsia="仿宋_GB2312"/>
          <w:sz w:val="28"/>
          <w:szCs w:val="28"/>
        </w:rPr>
        <w:t>依据《合同法》、《股票期权交易</w:t>
      </w:r>
      <w:r>
        <w:rPr>
          <w:rFonts w:hint="eastAsia" w:ascii="仿宋_GB2312" w:hAnsi="仿宋_GB2312" w:eastAsia="仿宋_GB2312"/>
          <w:sz w:val="28"/>
          <w:szCs w:val="28"/>
        </w:rPr>
        <w:t>试点管理办法</w:t>
      </w:r>
      <w:r>
        <w:rPr>
          <w:rFonts w:ascii="仿宋_GB2312" w:hAnsi="仿宋_GB2312" w:eastAsia="仿宋_GB2312"/>
          <w:sz w:val="28"/>
          <w:szCs w:val="28"/>
        </w:rPr>
        <w:t>》、</w:t>
      </w:r>
      <w:r>
        <w:rPr>
          <w:rFonts w:hint="eastAsia" w:ascii="仿宋_GB2312" w:hAnsi="仿宋_GB2312" w:eastAsia="仿宋_GB2312"/>
          <w:sz w:val="28"/>
          <w:szCs w:val="28"/>
        </w:rPr>
        <w:t>《证券期货经营机构参与股票期权交易试点指引》</w:t>
      </w:r>
      <w:r>
        <w:rPr>
          <w:rFonts w:ascii="仿宋_GB2312" w:hAnsi="仿宋_GB2312" w:eastAsia="仿宋_GB2312"/>
          <w:sz w:val="28"/>
          <w:szCs w:val="28"/>
        </w:rPr>
        <w:t>及其他相关法律、法规的规定，甲乙双方经友好协商，就甲方为乙方提供股票期权</w:t>
      </w:r>
      <w:r>
        <w:rPr>
          <w:rFonts w:hint="eastAsia" w:ascii="仿宋_GB2312" w:hAnsi="仿宋_GB2312" w:eastAsia="仿宋_GB2312"/>
          <w:sz w:val="28"/>
          <w:szCs w:val="28"/>
        </w:rPr>
        <w:t>中间</w:t>
      </w:r>
      <w:r>
        <w:rPr>
          <w:rFonts w:ascii="仿宋_GB2312" w:hAnsi="仿宋_GB2312" w:eastAsia="仿宋_GB2312"/>
          <w:sz w:val="28"/>
          <w:szCs w:val="28"/>
        </w:rPr>
        <w:t>介绍业务（以下简称介绍业务）有关事宜达成如下协议：</w:t>
      </w:r>
    </w:p>
    <w:p w14:paraId="49DB007F">
      <w:pPr>
        <w:autoSpaceDN w:val="0"/>
        <w:spacing w:line="600" w:lineRule="exact"/>
        <w:jc w:val="center"/>
        <w:rPr>
          <w:rFonts w:ascii="仿宋_GB2312" w:hAnsi="宋体" w:eastAsia="仿宋_GB2312"/>
          <w:sz w:val="28"/>
          <w:szCs w:val="28"/>
        </w:rPr>
      </w:pPr>
      <w:r>
        <w:rPr>
          <w:rFonts w:ascii="仿宋_GB2312" w:hAnsi="仿宋_GB2312" w:eastAsia="仿宋_GB2312"/>
          <w:sz w:val="28"/>
          <w:szCs w:val="28"/>
        </w:rPr>
        <w:t xml:space="preserve"> </w:t>
      </w:r>
      <w:r>
        <w:rPr>
          <w:rFonts w:ascii="仿宋_GB2312" w:hAnsi="仿宋_GB2312" w:eastAsia="仿宋_GB2312"/>
          <w:b/>
          <w:sz w:val="28"/>
          <w:szCs w:val="28"/>
        </w:rPr>
        <w:t>第一章    双方声明</w:t>
      </w:r>
    </w:p>
    <w:p w14:paraId="3AD11F39">
      <w:pPr>
        <w:widowControl/>
        <w:numPr>
          <w:ilvl w:val="0"/>
          <w:numId w:val="5"/>
        </w:numPr>
        <w:shd w:val="clear" w:color="auto" w:fill="FFFFFF"/>
        <w:spacing w:line="600" w:lineRule="exact"/>
        <w:ind w:left="0" w:firstLine="560" w:firstLineChars="200"/>
        <w:jc w:val="left"/>
        <w:rPr>
          <w:rFonts w:ascii="仿宋_GB2312" w:hAnsi="微软雅黑" w:eastAsia="仿宋_GB2312" w:cs="宋体"/>
          <w:kern w:val="0"/>
          <w:sz w:val="28"/>
          <w:szCs w:val="28"/>
        </w:rPr>
      </w:pPr>
      <w:r>
        <w:rPr>
          <w:rFonts w:ascii="仿宋_GB2312" w:hAnsi="仿宋_GB2312" w:eastAsia="仿宋_GB2312"/>
          <w:sz w:val="28"/>
          <w:szCs w:val="28"/>
        </w:rPr>
        <w:t>甲方向乙方作如下声明</w:t>
      </w:r>
      <w:r>
        <w:rPr>
          <w:rFonts w:hint="eastAsia" w:ascii="仿宋_GB2312" w:hAnsi="仿宋_GB2312" w:eastAsia="仿宋_GB2312"/>
          <w:sz w:val="28"/>
          <w:szCs w:val="28"/>
        </w:rPr>
        <w:t>：</w:t>
      </w:r>
    </w:p>
    <w:p w14:paraId="32CCF4B2">
      <w:pPr>
        <w:pStyle w:val="69"/>
        <w:autoSpaceDN w:val="0"/>
        <w:spacing w:line="600" w:lineRule="exact"/>
        <w:ind w:firstLine="560"/>
        <w:jc w:val="left"/>
        <w:rPr>
          <w:rFonts w:ascii="仿宋_GB2312" w:hAnsi="仿宋_GB2312" w:eastAsia="仿宋_GB2312"/>
          <w:sz w:val="28"/>
          <w:szCs w:val="28"/>
        </w:rPr>
      </w:pPr>
      <w:r>
        <w:rPr>
          <w:rFonts w:ascii="仿宋_GB2312" w:hAnsi="仿宋_GB2312" w:eastAsia="仿宋_GB2312"/>
          <w:sz w:val="28"/>
          <w:szCs w:val="28"/>
        </w:rPr>
        <w:t xml:space="preserve">（一）甲方为依法设立的期货公司。     </w:t>
      </w:r>
    </w:p>
    <w:p w14:paraId="5EAA7108">
      <w:pPr>
        <w:pStyle w:val="69"/>
        <w:autoSpaceDN w:val="0"/>
        <w:spacing w:line="600" w:lineRule="exact"/>
        <w:ind w:firstLine="560"/>
        <w:jc w:val="left"/>
        <w:rPr>
          <w:rFonts w:ascii="仿宋_GB2312" w:hAnsi="宋体" w:eastAsia="仿宋_GB2312"/>
          <w:sz w:val="28"/>
          <w:szCs w:val="28"/>
        </w:rPr>
      </w:pPr>
      <w:r>
        <w:rPr>
          <w:rFonts w:ascii="仿宋_GB2312" w:hAnsi="仿宋_GB2312" w:eastAsia="仿宋_GB2312"/>
          <w:sz w:val="28"/>
          <w:szCs w:val="28"/>
        </w:rPr>
        <w:t xml:space="preserve">（二）甲方具有相应的人员、经营场所、设备和信息系统，能够为进行介绍业务提供必要的条件。 </w:t>
      </w:r>
    </w:p>
    <w:p w14:paraId="2C646C74">
      <w:pPr>
        <w:pStyle w:val="69"/>
        <w:autoSpaceDN w:val="0"/>
        <w:spacing w:line="600" w:lineRule="exact"/>
        <w:ind w:firstLine="560"/>
        <w:jc w:val="left"/>
        <w:rPr>
          <w:rFonts w:ascii="仿宋_GB2312" w:hAnsi="仿宋_GB2312" w:eastAsia="仿宋_GB2312"/>
          <w:sz w:val="28"/>
          <w:szCs w:val="28"/>
        </w:rPr>
      </w:pPr>
      <w:r>
        <w:rPr>
          <w:rFonts w:ascii="仿宋_GB2312" w:hAnsi="仿宋_GB2312" w:eastAsia="仿宋_GB2312"/>
          <w:sz w:val="28"/>
          <w:szCs w:val="28"/>
        </w:rPr>
        <w:t xml:space="preserve">（三）甲方对所属营业部开展的介绍业务实行统一管理。 </w:t>
      </w:r>
    </w:p>
    <w:p w14:paraId="67759720">
      <w:pPr>
        <w:pStyle w:val="69"/>
        <w:autoSpaceDN w:val="0"/>
        <w:spacing w:line="600" w:lineRule="exact"/>
        <w:ind w:firstLine="560"/>
        <w:jc w:val="left"/>
        <w:rPr>
          <w:rFonts w:ascii="仿宋_GB2312" w:hAnsi="仿宋_GB2312" w:eastAsia="仿宋_GB2312"/>
          <w:sz w:val="28"/>
          <w:szCs w:val="28"/>
        </w:rPr>
      </w:pPr>
      <w:r>
        <w:rPr>
          <w:rFonts w:ascii="仿宋_GB2312" w:hAnsi="仿宋_GB2312" w:eastAsia="仿宋_GB2312"/>
          <w:sz w:val="28"/>
          <w:szCs w:val="28"/>
        </w:rPr>
        <w:t>甲方保证上述声明的真实性、准确性，并承诺承担因违背上述声明给自己及他人造成的损失</w:t>
      </w:r>
    </w:p>
    <w:p w14:paraId="63DD06D3">
      <w:pPr>
        <w:widowControl/>
        <w:numPr>
          <w:ilvl w:val="0"/>
          <w:numId w:val="5"/>
        </w:numPr>
        <w:shd w:val="clear" w:color="auto" w:fill="FFFFFF"/>
        <w:autoSpaceDN w:val="0"/>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乙方向甲方作如下声明：</w:t>
      </w:r>
    </w:p>
    <w:p w14:paraId="5B7F28F0">
      <w:pPr>
        <w:pStyle w:val="69"/>
        <w:autoSpaceDN w:val="0"/>
        <w:spacing w:line="600" w:lineRule="exact"/>
        <w:ind w:firstLine="560"/>
        <w:jc w:val="left"/>
        <w:rPr>
          <w:rFonts w:ascii="仿宋_GB2312" w:hAnsi="仿宋_GB2312" w:eastAsia="仿宋_GB2312"/>
          <w:sz w:val="28"/>
          <w:szCs w:val="28"/>
        </w:rPr>
      </w:pPr>
      <w:r>
        <w:rPr>
          <w:rFonts w:ascii="仿宋_GB2312" w:hAnsi="仿宋_GB2312" w:eastAsia="仿宋_GB2312"/>
          <w:sz w:val="28"/>
          <w:szCs w:val="28"/>
        </w:rPr>
        <w:t>（一）乙方为依法设立的证券公司</w:t>
      </w:r>
      <w:r>
        <w:rPr>
          <w:rFonts w:hint="eastAsia" w:ascii="仿宋_GB2312" w:hAnsi="仿宋_GB2312" w:eastAsia="仿宋_GB2312"/>
          <w:sz w:val="28"/>
          <w:szCs w:val="28"/>
        </w:rPr>
        <w:t>或期货公司</w:t>
      </w:r>
      <w:r>
        <w:rPr>
          <w:rFonts w:ascii="仿宋_GB2312" w:hAnsi="仿宋_GB2312" w:eastAsia="仿宋_GB2312"/>
          <w:sz w:val="28"/>
          <w:szCs w:val="28"/>
        </w:rPr>
        <w:t xml:space="preserve">，具有股票期权经纪业务资格。    </w:t>
      </w:r>
    </w:p>
    <w:p w14:paraId="4C2AAB14">
      <w:pPr>
        <w:pStyle w:val="69"/>
        <w:autoSpaceDN w:val="0"/>
        <w:spacing w:line="600" w:lineRule="exact"/>
        <w:ind w:firstLine="560"/>
        <w:jc w:val="left"/>
        <w:rPr>
          <w:rFonts w:ascii="仿宋_GB2312" w:hAnsi="宋体" w:eastAsia="仿宋_GB2312"/>
          <w:sz w:val="28"/>
          <w:szCs w:val="28"/>
        </w:rPr>
      </w:pPr>
      <w:r>
        <w:rPr>
          <w:rFonts w:ascii="仿宋_GB2312" w:hAnsi="仿宋_GB2312" w:eastAsia="仿宋_GB2312"/>
          <w:sz w:val="28"/>
          <w:szCs w:val="28"/>
        </w:rPr>
        <w:t xml:space="preserve">（二）乙方具有相应的人员、经营场所、设备和信息系统，能够为甲方开展介绍业务提供必要的条件。 </w:t>
      </w:r>
    </w:p>
    <w:p w14:paraId="0F5CDC23">
      <w:pPr>
        <w:widowControl/>
        <w:shd w:val="clear" w:color="auto" w:fill="FFFFFF"/>
        <w:autoSpaceDN w:val="0"/>
        <w:spacing w:line="600" w:lineRule="exact"/>
        <w:ind w:firstLine="560" w:firstLineChars="200"/>
        <w:jc w:val="left"/>
        <w:rPr>
          <w:rFonts w:ascii="仿宋_GB2312" w:hAnsi="仿宋_GB2312" w:eastAsia="仿宋_GB2312"/>
          <w:sz w:val="28"/>
          <w:szCs w:val="28"/>
        </w:rPr>
      </w:pPr>
      <w:r>
        <w:rPr>
          <w:rFonts w:hint="eastAsia" w:ascii="仿宋_GB2312" w:hAnsi="仿宋_GB2312" w:eastAsia="仿宋_GB2312"/>
          <w:sz w:val="28"/>
          <w:szCs w:val="28"/>
        </w:rPr>
        <w:t>乙方保证上述声明的真实性、准确性，并承诺承担因违背上述声明给自己及他人造成的损失。</w:t>
      </w:r>
    </w:p>
    <w:p w14:paraId="1484D4B9">
      <w:pPr>
        <w:widowControl/>
        <w:shd w:val="clear" w:color="auto" w:fill="FFFFFF"/>
        <w:autoSpaceDN w:val="0"/>
        <w:spacing w:line="600" w:lineRule="exact"/>
        <w:jc w:val="center"/>
        <w:rPr>
          <w:rFonts w:ascii="仿宋_GB2312" w:hAnsi="宋体" w:eastAsia="仿宋_GB2312"/>
          <w:sz w:val="28"/>
          <w:szCs w:val="28"/>
        </w:rPr>
      </w:pPr>
      <w:r>
        <w:rPr>
          <w:rFonts w:ascii="仿宋_GB2312" w:hAnsi="仿宋_GB2312" w:eastAsia="仿宋_GB2312"/>
          <w:b/>
          <w:sz w:val="28"/>
          <w:szCs w:val="28"/>
        </w:rPr>
        <w:t xml:space="preserve">第二章 </w:t>
      </w:r>
      <w:r>
        <w:rPr>
          <w:rFonts w:ascii="仿宋_GB2312" w:hAnsi="宋体" w:eastAsia="仿宋_GB2312"/>
          <w:b/>
          <w:sz w:val="28"/>
          <w:szCs w:val="28"/>
        </w:rPr>
        <w:t xml:space="preserve">    </w:t>
      </w:r>
      <w:r>
        <w:rPr>
          <w:rFonts w:ascii="仿宋_GB2312" w:hAnsi="仿宋_GB2312" w:eastAsia="仿宋_GB2312"/>
          <w:b/>
          <w:sz w:val="28"/>
          <w:szCs w:val="28"/>
        </w:rPr>
        <w:t>介绍业务范围</w:t>
      </w:r>
    </w:p>
    <w:p w14:paraId="1795E30F">
      <w:pPr>
        <w:widowControl/>
        <w:numPr>
          <w:ilvl w:val="0"/>
          <w:numId w:val="5"/>
        </w:numPr>
        <w:shd w:val="clear" w:color="auto" w:fill="FFFFFF"/>
        <w:autoSpaceDN w:val="0"/>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甲方接受乙方委托，为乙方介绍客户参与股票期权交易，并提供下列服务：</w:t>
      </w:r>
    </w:p>
    <w:p w14:paraId="2258DAB0">
      <w:pPr>
        <w:pStyle w:val="69"/>
        <w:autoSpaceDN w:val="0"/>
        <w:spacing w:line="600" w:lineRule="exact"/>
        <w:ind w:firstLine="560"/>
        <w:jc w:val="left"/>
        <w:rPr>
          <w:rFonts w:ascii="仿宋_GB2312" w:hAnsi="宋体" w:eastAsia="仿宋_GB2312"/>
          <w:sz w:val="28"/>
          <w:szCs w:val="28"/>
        </w:rPr>
      </w:pPr>
      <w:r>
        <w:rPr>
          <w:rFonts w:ascii="仿宋_GB2312" w:hAnsi="仿宋_GB2312" w:eastAsia="仿宋_GB2312"/>
          <w:sz w:val="28"/>
          <w:szCs w:val="28"/>
        </w:rPr>
        <w:t xml:space="preserve">（一）协助办理客户开户手续； </w:t>
      </w:r>
    </w:p>
    <w:p w14:paraId="5C58802D">
      <w:pPr>
        <w:pStyle w:val="69"/>
        <w:autoSpaceDN w:val="0"/>
        <w:spacing w:line="600" w:lineRule="exact"/>
        <w:ind w:firstLine="560"/>
        <w:jc w:val="left"/>
        <w:rPr>
          <w:rFonts w:ascii="仿宋_GB2312" w:hAnsi="仿宋_GB2312" w:eastAsia="仿宋_GB2312"/>
          <w:sz w:val="28"/>
          <w:szCs w:val="28"/>
        </w:rPr>
      </w:pPr>
      <w:r>
        <w:rPr>
          <w:rFonts w:ascii="仿宋_GB2312" w:hAnsi="仿宋_GB2312" w:eastAsia="仿宋_GB2312"/>
          <w:sz w:val="28"/>
          <w:szCs w:val="28"/>
        </w:rPr>
        <w:t>（二）为客户提供股票期权行情信息、交易设施；</w:t>
      </w:r>
    </w:p>
    <w:p w14:paraId="79BAF60B">
      <w:pPr>
        <w:pStyle w:val="69"/>
        <w:autoSpaceDN w:val="0"/>
        <w:spacing w:line="600" w:lineRule="exact"/>
        <w:ind w:firstLine="560"/>
        <w:jc w:val="left"/>
        <w:rPr>
          <w:rFonts w:ascii="仿宋_GB2312" w:hAnsi="宋体" w:eastAsia="仿宋_GB2312"/>
          <w:sz w:val="28"/>
          <w:szCs w:val="28"/>
        </w:rPr>
      </w:pPr>
      <w:r>
        <w:rPr>
          <w:rFonts w:hint="eastAsia" w:ascii="仿宋_GB2312" w:hAnsi="仿宋_GB2312" w:eastAsia="仿宋_GB2312"/>
          <w:sz w:val="28"/>
          <w:szCs w:val="28"/>
        </w:rPr>
        <w:t>（三）协助开展股票期权风险控制；（可选项）</w:t>
      </w:r>
      <w:r>
        <w:rPr>
          <w:rFonts w:ascii="仿宋_GB2312" w:hAnsi="仿宋_GB2312" w:eastAsia="仿宋_GB2312"/>
          <w:sz w:val="28"/>
          <w:szCs w:val="28"/>
        </w:rPr>
        <w:t xml:space="preserve"> </w:t>
      </w:r>
    </w:p>
    <w:p w14:paraId="10FBAA28">
      <w:pPr>
        <w:pStyle w:val="69"/>
        <w:autoSpaceDN w:val="0"/>
        <w:spacing w:line="600" w:lineRule="exact"/>
        <w:ind w:firstLine="560"/>
        <w:jc w:val="left"/>
        <w:rPr>
          <w:rFonts w:ascii="仿宋_GB2312" w:hAnsi="宋体" w:eastAsia="仿宋_GB2312"/>
          <w:sz w:val="28"/>
          <w:szCs w:val="28"/>
        </w:rPr>
      </w:pPr>
      <w:r>
        <w:rPr>
          <w:rFonts w:ascii="仿宋_GB2312" w:hAnsi="仿宋_GB2312" w:eastAsia="仿宋_GB2312"/>
          <w:sz w:val="28"/>
          <w:szCs w:val="28"/>
        </w:rPr>
        <w:t xml:space="preserve">（四）双方约定的其他服务。 </w:t>
      </w:r>
    </w:p>
    <w:p w14:paraId="1AA684CE">
      <w:pPr>
        <w:pStyle w:val="69"/>
        <w:widowControl/>
        <w:shd w:val="clear" w:color="auto" w:fill="FFFFFF"/>
        <w:autoSpaceDN w:val="0"/>
        <w:spacing w:line="600" w:lineRule="exact"/>
        <w:ind w:firstLine="560"/>
        <w:jc w:val="left"/>
        <w:rPr>
          <w:rFonts w:ascii="仿宋_GB2312" w:hAnsi="宋体" w:eastAsia="仿宋_GB2312"/>
          <w:sz w:val="28"/>
          <w:szCs w:val="28"/>
        </w:rPr>
      </w:pPr>
      <w:r>
        <w:rPr>
          <w:rFonts w:hint="eastAsia" w:ascii="仿宋_GB2312" w:hAnsi="仿宋_GB2312" w:eastAsia="仿宋_GB2312"/>
          <w:sz w:val="28"/>
          <w:szCs w:val="28"/>
        </w:rPr>
        <w:t>介绍业务的报酬及相关费用，由甲乙双方本着平等自愿、互利互惠的原则协商确定。</w:t>
      </w:r>
    </w:p>
    <w:p w14:paraId="2CEEB70F">
      <w:pPr>
        <w:widowControl/>
        <w:numPr>
          <w:ilvl w:val="0"/>
          <w:numId w:val="5"/>
        </w:numPr>
        <w:shd w:val="clear" w:color="auto" w:fill="FFFFFF"/>
        <w:autoSpaceDN w:val="0"/>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甲方按照本协议约定对乙方承担介绍业务受托责任，甲方与乙方客户之间不存在基于股票期权交易产生的权利义务法律关系。乙方基于股票期权经纪合同直接对客户承担责任</w:t>
      </w:r>
    </w:p>
    <w:p w14:paraId="14266FE2">
      <w:pPr>
        <w:widowControl/>
        <w:numPr>
          <w:ilvl w:val="0"/>
          <w:numId w:val="5"/>
        </w:numPr>
        <w:shd w:val="clear" w:color="auto" w:fill="FFFFFF"/>
        <w:autoSpaceDN w:val="0"/>
        <w:spacing w:line="600" w:lineRule="exact"/>
        <w:ind w:left="0" w:firstLine="560" w:firstLineChars="200"/>
        <w:jc w:val="left"/>
        <w:rPr>
          <w:rFonts w:ascii="仿宋_GB2312" w:hAnsi="宋体" w:eastAsia="仿宋_GB2312"/>
          <w:sz w:val="28"/>
          <w:szCs w:val="28"/>
        </w:rPr>
      </w:pPr>
      <w:r>
        <w:rPr>
          <w:rFonts w:hint="eastAsia" w:ascii="仿宋_GB2312" w:eastAsia="仿宋_GB2312"/>
          <w:sz w:val="28"/>
          <w:szCs w:val="28"/>
        </w:rPr>
        <w:t>甲方不得代理客户进行股票期权的交易、结算，不得代客户接收、保管或者修改交易密码，也不得利用客户的衍生品合约账户、股票期权保证金账户进行股票期权交易。</w:t>
      </w:r>
    </w:p>
    <w:p w14:paraId="21DF9573">
      <w:pPr>
        <w:widowControl/>
        <w:numPr>
          <w:ilvl w:val="0"/>
          <w:numId w:val="5"/>
        </w:numPr>
        <w:shd w:val="clear" w:color="auto" w:fill="FFFFFF"/>
        <w:autoSpaceDN w:val="0"/>
        <w:spacing w:line="600" w:lineRule="exact"/>
        <w:ind w:left="0" w:firstLine="560" w:firstLineChars="200"/>
        <w:jc w:val="left"/>
        <w:rPr>
          <w:rFonts w:ascii="仿宋_GB2312" w:hAnsi="微软雅黑" w:eastAsia="仿宋_GB2312" w:cs="宋体"/>
          <w:kern w:val="0"/>
          <w:sz w:val="28"/>
          <w:szCs w:val="28"/>
        </w:rPr>
      </w:pPr>
      <w:r>
        <w:rPr>
          <w:rFonts w:hint="eastAsia" w:ascii="仿宋_GB2312" w:hAnsi="宋体" w:eastAsia="仿宋_GB2312" w:cs="宋体"/>
          <w:kern w:val="0"/>
          <w:sz w:val="28"/>
          <w:szCs w:val="28"/>
        </w:rPr>
        <w:t>甲方不得代乙方、客户收付股票期权保证金。</w:t>
      </w:r>
    </w:p>
    <w:p w14:paraId="728F0ADF">
      <w:pPr>
        <w:widowControl/>
        <w:numPr>
          <w:ilvl w:val="0"/>
          <w:numId w:val="5"/>
        </w:numPr>
        <w:shd w:val="clear" w:color="auto" w:fill="FFFFFF"/>
        <w:autoSpaceDN w:val="0"/>
        <w:spacing w:line="600" w:lineRule="exact"/>
        <w:ind w:left="0" w:firstLine="560" w:firstLineChars="200"/>
        <w:jc w:val="left"/>
        <w:rPr>
          <w:rFonts w:ascii="仿宋_GB2312" w:hAnsi="微软雅黑" w:eastAsia="仿宋_GB2312" w:cs="宋体"/>
          <w:kern w:val="0"/>
          <w:sz w:val="28"/>
          <w:szCs w:val="28"/>
        </w:rPr>
      </w:pPr>
      <w:r>
        <w:rPr>
          <w:rFonts w:ascii="仿宋_GB2312" w:hAnsi="仿宋_GB2312" w:eastAsia="仿宋_GB2312"/>
          <w:sz w:val="28"/>
          <w:szCs w:val="28"/>
        </w:rPr>
        <w:t>甲方不得直接或者间接为客户从事股票期权交易提供融资或担保</w:t>
      </w:r>
      <w:r>
        <w:rPr>
          <w:rFonts w:hint="eastAsia" w:ascii="仿宋_GB2312" w:hAnsi="仿宋_GB2312" w:eastAsia="仿宋_GB2312"/>
          <w:sz w:val="28"/>
          <w:szCs w:val="28"/>
        </w:rPr>
        <w:t>。</w:t>
      </w:r>
    </w:p>
    <w:p w14:paraId="424D3043">
      <w:pPr>
        <w:widowControl/>
        <w:shd w:val="clear" w:color="auto" w:fill="FFFFFF"/>
        <w:autoSpaceDN w:val="0"/>
        <w:spacing w:line="480" w:lineRule="exact"/>
        <w:jc w:val="center"/>
        <w:rPr>
          <w:rFonts w:ascii="仿宋_GB2312" w:hAnsi="微软雅黑" w:eastAsia="仿宋_GB2312" w:cs="宋体"/>
          <w:kern w:val="0"/>
          <w:sz w:val="28"/>
          <w:szCs w:val="28"/>
        </w:rPr>
      </w:pPr>
      <w:r>
        <w:rPr>
          <w:rFonts w:ascii="仿宋_GB2312" w:hAnsi="仿宋_GB2312" w:eastAsia="仿宋_GB2312"/>
          <w:b/>
          <w:sz w:val="28"/>
          <w:szCs w:val="28"/>
        </w:rPr>
        <w:t xml:space="preserve">第三章 </w:t>
      </w:r>
      <w:r>
        <w:rPr>
          <w:rFonts w:hAnsi="宋体"/>
          <w:b/>
          <w:sz w:val="28"/>
          <w:szCs w:val="28"/>
        </w:rPr>
        <w:t xml:space="preserve">         </w:t>
      </w:r>
      <w:r>
        <w:rPr>
          <w:rFonts w:ascii="仿宋_GB2312" w:hAnsi="仿宋_GB2312" w:eastAsia="仿宋_GB2312"/>
          <w:b/>
          <w:sz w:val="28"/>
          <w:szCs w:val="28"/>
        </w:rPr>
        <w:t>介绍业务</w:t>
      </w:r>
      <w:r>
        <w:rPr>
          <w:rFonts w:hint="eastAsia" w:ascii="仿宋_GB2312" w:hAnsi="仿宋_GB2312" w:eastAsia="仿宋_GB2312"/>
          <w:b/>
          <w:sz w:val="28"/>
          <w:szCs w:val="28"/>
        </w:rPr>
        <w:t>对接管理</w:t>
      </w:r>
    </w:p>
    <w:p w14:paraId="6CEC5492">
      <w:pPr>
        <w:widowControl/>
        <w:numPr>
          <w:ilvl w:val="0"/>
          <w:numId w:val="5"/>
        </w:numPr>
        <w:shd w:val="clear" w:color="auto" w:fill="FFFFFF"/>
        <w:autoSpaceDN w:val="0"/>
        <w:spacing w:line="600" w:lineRule="exact"/>
        <w:ind w:left="0" w:firstLine="560" w:firstLineChars="200"/>
        <w:jc w:val="left"/>
        <w:rPr>
          <w:rFonts w:ascii="仿宋_GB2312" w:hAnsi="微软雅黑" w:eastAsia="仿宋_GB2312" w:cs="宋体"/>
          <w:kern w:val="0"/>
          <w:sz w:val="28"/>
          <w:szCs w:val="28"/>
        </w:rPr>
      </w:pPr>
      <w:r>
        <w:rPr>
          <w:rFonts w:hint="eastAsia" w:ascii="仿宋_GB2312" w:eastAsia="仿宋_GB2312"/>
          <w:sz w:val="28"/>
          <w:szCs w:val="28"/>
        </w:rPr>
        <w:t>乙方向甲方提供与股票期权交易业务有关的《股票期权风险揭示书》、《股票期权经纪合同》、股票期权交易流程、股票期权保证金安全存管的方式和要求、股票期权结算结果的查询方式、必要的业务单据等资料，并为甲方提供开展介绍业务所必需的业务培训以及其他相应业务支持。</w:t>
      </w:r>
    </w:p>
    <w:p w14:paraId="1645FB42">
      <w:pPr>
        <w:widowControl/>
        <w:shd w:val="clear" w:color="auto" w:fill="FFFFFF"/>
        <w:autoSpaceDN w:val="0"/>
        <w:spacing w:line="600" w:lineRule="exact"/>
        <w:ind w:firstLine="560" w:firstLineChars="200"/>
        <w:jc w:val="left"/>
        <w:rPr>
          <w:rFonts w:ascii="仿宋_GB2312" w:hAnsi="微软雅黑" w:eastAsia="仿宋_GB2312" w:cs="宋体"/>
          <w:kern w:val="0"/>
          <w:sz w:val="28"/>
          <w:szCs w:val="28"/>
        </w:rPr>
      </w:pPr>
      <w:r>
        <w:rPr>
          <w:rFonts w:ascii="仿宋_GB2312" w:hAnsi="仿宋_GB2312" w:eastAsia="仿宋_GB2312"/>
          <w:sz w:val="28"/>
          <w:szCs w:val="28"/>
        </w:rPr>
        <w:t>甲方可以根据开展介绍业务的需要，要求乙方提供公司基本情况介绍、有关负责人和业务人员简历等资料，以备客户咨询。</w:t>
      </w:r>
    </w:p>
    <w:p w14:paraId="62E7B72B">
      <w:pPr>
        <w:widowControl/>
        <w:numPr>
          <w:ilvl w:val="0"/>
          <w:numId w:val="5"/>
        </w:numPr>
        <w:shd w:val="clear" w:color="auto" w:fill="FFFFFF"/>
        <w:autoSpaceDN w:val="0"/>
        <w:spacing w:line="600" w:lineRule="exact"/>
        <w:ind w:left="0" w:firstLine="560" w:firstLineChars="200"/>
        <w:jc w:val="left"/>
        <w:rPr>
          <w:rFonts w:ascii="仿宋_GB2312" w:hAnsi="微软雅黑" w:eastAsia="仿宋_GB2312" w:cs="宋体"/>
          <w:kern w:val="0"/>
          <w:sz w:val="28"/>
          <w:szCs w:val="28"/>
        </w:rPr>
      </w:pPr>
      <w:r>
        <w:rPr>
          <w:rFonts w:ascii="仿宋_GB2312" w:hAnsi="仿宋_GB2312" w:eastAsia="仿宋_GB2312"/>
          <w:sz w:val="28"/>
          <w:szCs w:val="28"/>
        </w:rPr>
        <w:t>甲方按照合规、审慎经营的原则，制定并有效执行介绍业务规则、内部控制、合规检查等制度，确保有效防范和隔离介绍业务与其他业务的风险。</w:t>
      </w:r>
    </w:p>
    <w:p w14:paraId="058E3269">
      <w:pPr>
        <w:widowControl/>
        <w:numPr>
          <w:ilvl w:val="0"/>
          <w:numId w:val="5"/>
        </w:numPr>
        <w:shd w:val="clear" w:color="auto" w:fill="FFFFFF"/>
        <w:autoSpaceDN w:val="0"/>
        <w:spacing w:line="600" w:lineRule="exact"/>
        <w:ind w:left="0" w:firstLine="560" w:firstLineChars="200"/>
        <w:jc w:val="left"/>
        <w:rPr>
          <w:rFonts w:ascii="仿宋_GB2312" w:hAnsi="微软雅黑" w:eastAsia="仿宋_GB2312" w:cs="宋体"/>
          <w:kern w:val="0"/>
          <w:sz w:val="28"/>
          <w:szCs w:val="28"/>
        </w:rPr>
      </w:pPr>
      <w:r>
        <w:rPr>
          <w:rFonts w:ascii="仿宋_GB2312" w:hAnsi="仿宋_GB2312" w:eastAsia="仿宋_GB2312"/>
          <w:sz w:val="28"/>
          <w:szCs w:val="28"/>
        </w:rPr>
        <w:t>甲方在其经营场所显著位置或其网站，公开下列信息：</w:t>
      </w:r>
    </w:p>
    <w:p w14:paraId="4A9ED410">
      <w:pPr>
        <w:autoSpaceDN w:val="0"/>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（一）</w:t>
      </w:r>
      <w:r>
        <w:rPr>
          <w:rFonts w:ascii="仿宋_GB2312" w:hAnsi="宋体" w:eastAsia="仿宋_GB2312"/>
          <w:sz w:val="28"/>
          <w:szCs w:val="28"/>
        </w:rPr>
        <w:t xml:space="preserve"> </w:t>
      </w:r>
      <w:r>
        <w:rPr>
          <w:rFonts w:ascii="仿宋_GB2312" w:hAnsi="仿宋_GB2312" w:eastAsia="仿宋_GB2312"/>
          <w:sz w:val="28"/>
          <w:szCs w:val="28"/>
        </w:rPr>
        <w:t xml:space="preserve">受托从事的介绍业务范围； </w:t>
      </w:r>
    </w:p>
    <w:p w14:paraId="6C80DC18">
      <w:pPr>
        <w:autoSpaceDN w:val="0"/>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（二）</w:t>
      </w:r>
      <w:r>
        <w:rPr>
          <w:rFonts w:ascii="仿宋_GB2312" w:hAnsi="宋体" w:eastAsia="仿宋_GB2312"/>
          <w:sz w:val="28"/>
          <w:szCs w:val="28"/>
        </w:rPr>
        <w:t xml:space="preserve"> </w:t>
      </w:r>
      <w:r>
        <w:rPr>
          <w:rFonts w:ascii="仿宋_GB2312" w:hAnsi="仿宋_GB2312" w:eastAsia="仿宋_GB2312"/>
          <w:sz w:val="28"/>
          <w:szCs w:val="28"/>
        </w:rPr>
        <w:t xml:space="preserve">从事介绍业务的管理人员和业务人员的名单和照片； </w:t>
      </w:r>
    </w:p>
    <w:p w14:paraId="544D3908">
      <w:pPr>
        <w:autoSpaceDN w:val="0"/>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（三）</w:t>
      </w:r>
      <w:r>
        <w:rPr>
          <w:rFonts w:ascii="仿宋_GB2312" w:hAnsi="宋体" w:eastAsia="仿宋_GB2312"/>
          <w:sz w:val="28"/>
          <w:szCs w:val="28"/>
        </w:rPr>
        <w:t xml:space="preserve"> </w:t>
      </w:r>
      <w:r>
        <w:rPr>
          <w:rFonts w:ascii="仿宋_GB2312" w:hAnsi="仿宋_GB2312" w:eastAsia="仿宋_GB2312"/>
          <w:sz w:val="28"/>
          <w:szCs w:val="28"/>
        </w:rPr>
        <w:t xml:space="preserve">乙方股票期权保证金账户信息、保证金安全存管方式； </w:t>
      </w:r>
    </w:p>
    <w:p w14:paraId="7EEDB7BC">
      <w:pPr>
        <w:autoSpaceDN w:val="0"/>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（四）</w:t>
      </w:r>
      <w:r>
        <w:rPr>
          <w:rFonts w:ascii="仿宋_GB2312" w:hAnsi="宋体" w:eastAsia="仿宋_GB2312"/>
          <w:sz w:val="28"/>
          <w:szCs w:val="28"/>
        </w:rPr>
        <w:t xml:space="preserve"> </w:t>
      </w:r>
      <w:r>
        <w:rPr>
          <w:rFonts w:ascii="仿宋_GB2312" w:hAnsi="仿宋_GB2312" w:eastAsia="仿宋_GB2312"/>
          <w:sz w:val="28"/>
          <w:szCs w:val="28"/>
        </w:rPr>
        <w:t xml:space="preserve">客户开户和交易流程、出入金流程； </w:t>
      </w:r>
    </w:p>
    <w:p w14:paraId="4EF9A576">
      <w:pPr>
        <w:autoSpaceDN w:val="0"/>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（五）</w:t>
      </w:r>
      <w:r>
        <w:rPr>
          <w:rFonts w:ascii="仿宋_GB2312" w:hAnsi="宋体" w:eastAsia="仿宋_GB2312"/>
          <w:sz w:val="28"/>
          <w:szCs w:val="28"/>
        </w:rPr>
        <w:t xml:space="preserve"> </w:t>
      </w:r>
      <w:r>
        <w:rPr>
          <w:rFonts w:ascii="仿宋_GB2312" w:hAnsi="仿宋_GB2312" w:eastAsia="仿宋_GB2312"/>
          <w:sz w:val="28"/>
          <w:szCs w:val="28"/>
        </w:rPr>
        <w:t xml:space="preserve">客户交易结算结果的查询方式； </w:t>
      </w:r>
    </w:p>
    <w:p w14:paraId="6F6DF0FC">
      <w:pPr>
        <w:autoSpaceDN w:val="0"/>
        <w:spacing w:line="600" w:lineRule="exact"/>
        <w:ind w:firstLine="560" w:firstLineChars="200"/>
        <w:jc w:val="left"/>
        <w:rPr>
          <w:rFonts w:ascii="仿宋_GB2312" w:hAnsi="仿宋_GB2312" w:eastAsia="仿宋_GB2312"/>
          <w:sz w:val="28"/>
          <w:szCs w:val="28"/>
        </w:rPr>
      </w:pPr>
      <w:r>
        <w:rPr>
          <w:rFonts w:ascii="仿宋_GB2312" w:hAnsi="仿宋_GB2312" w:eastAsia="仿宋_GB2312"/>
          <w:sz w:val="28"/>
          <w:szCs w:val="28"/>
        </w:rPr>
        <w:t>（六）双方约定的其他信息。</w:t>
      </w:r>
    </w:p>
    <w:p w14:paraId="175CB7B9">
      <w:pPr>
        <w:autoSpaceDN w:val="0"/>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乙方在其经营场所显著位置或其网站，对前款（三）、（四）（五）、（六）项规定的有关信息予以公开列示</w:t>
      </w:r>
      <w:r>
        <w:rPr>
          <w:rFonts w:hint="eastAsia" w:ascii="仿宋_GB2312" w:hAnsi="仿宋_GB2312" w:eastAsia="仿宋_GB2312"/>
          <w:sz w:val="28"/>
          <w:szCs w:val="28"/>
        </w:rPr>
        <w:t>。</w:t>
      </w:r>
    </w:p>
    <w:p w14:paraId="68ED126B">
      <w:pPr>
        <w:widowControl/>
        <w:numPr>
          <w:ilvl w:val="0"/>
          <w:numId w:val="5"/>
        </w:numPr>
        <w:shd w:val="clear" w:color="auto" w:fill="FFFFFF"/>
        <w:autoSpaceDN w:val="0"/>
        <w:spacing w:line="600" w:lineRule="exact"/>
        <w:ind w:left="0" w:firstLine="560" w:firstLineChars="200"/>
        <w:jc w:val="left"/>
        <w:rPr>
          <w:rFonts w:ascii="仿宋_GB2312" w:hAnsi="微软雅黑" w:eastAsia="仿宋_GB2312" w:cs="宋体"/>
          <w:kern w:val="0"/>
          <w:sz w:val="28"/>
          <w:szCs w:val="28"/>
        </w:rPr>
      </w:pPr>
      <w:r>
        <w:rPr>
          <w:rFonts w:ascii="仿宋_GB2312" w:hAnsi="仿宋_GB2312" w:eastAsia="仿宋_GB2312"/>
          <w:sz w:val="28"/>
          <w:szCs w:val="28"/>
        </w:rPr>
        <w:t>甲方在为乙方介绍客户时，应当向客户明示其与乙方的介绍业务委托关系，解释甲方、客户、乙方三者之间的权利义务关系，告知股票期权保证金安全存管要求。乙方也应在股票期权经纪合同中明确注明甲方、乙方、客户三者之间的权利义务关系。</w:t>
      </w:r>
    </w:p>
    <w:p w14:paraId="4AE074E7">
      <w:pPr>
        <w:widowControl/>
        <w:shd w:val="clear" w:color="auto" w:fill="FFFFFF"/>
        <w:autoSpaceDN w:val="0"/>
        <w:spacing w:line="600" w:lineRule="exact"/>
        <w:ind w:firstLine="560" w:firstLineChars="200"/>
        <w:jc w:val="left"/>
        <w:rPr>
          <w:rFonts w:ascii="仿宋_GB2312" w:hAnsi="微软雅黑" w:eastAsia="仿宋_GB2312" w:cs="宋体"/>
          <w:kern w:val="0"/>
          <w:sz w:val="28"/>
          <w:szCs w:val="28"/>
        </w:rPr>
      </w:pPr>
      <w:r>
        <w:rPr>
          <w:rFonts w:ascii="仿宋_GB2312" w:hAnsi="仿宋_GB2312" w:eastAsia="仿宋_GB2312"/>
          <w:sz w:val="28"/>
          <w:szCs w:val="28"/>
        </w:rPr>
        <w:t>甲方在开发客户过程中，应当向客户解释股票期权交易的方式、流程，充分揭示股票期权交易风险，并不得向客户作获利保证、共担风险等承诺，不得虚假宣传误导客户。</w:t>
      </w:r>
    </w:p>
    <w:p w14:paraId="5238FBB1">
      <w:pPr>
        <w:widowControl/>
        <w:numPr>
          <w:ilvl w:val="0"/>
          <w:numId w:val="5"/>
        </w:numPr>
        <w:shd w:val="clear" w:color="auto" w:fill="FFFFFF"/>
        <w:autoSpaceDN w:val="0"/>
        <w:spacing w:line="600" w:lineRule="exact"/>
        <w:ind w:left="0" w:firstLine="560" w:firstLineChars="200"/>
        <w:jc w:val="left"/>
        <w:rPr>
          <w:rFonts w:ascii="仿宋_GB2312" w:hAnsi="微软雅黑" w:eastAsia="仿宋_GB2312" w:cs="宋体"/>
          <w:kern w:val="0"/>
          <w:sz w:val="28"/>
          <w:szCs w:val="28"/>
        </w:rPr>
      </w:pPr>
      <w:r>
        <w:rPr>
          <w:rFonts w:ascii="仿宋_GB2312" w:hAnsi="仿宋_GB2312" w:eastAsia="仿宋_GB2312"/>
          <w:sz w:val="28"/>
          <w:szCs w:val="28"/>
        </w:rPr>
        <w:t>甲乙双方协商确定客户开户审查的方式、内容和程序，甲方设专人负责协助开户及开户审核工作。</w:t>
      </w:r>
    </w:p>
    <w:p w14:paraId="26201C88">
      <w:pPr>
        <w:widowControl/>
        <w:numPr>
          <w:ilvl w:val="0"/>
          <w:numId w:val="5"/>
        </w:numPr>
        <w:shd w:val="clear" w:color="auto" w:fill="FFFFFF"/>
        <w:autoSpaceDN w:val="0"/>
        <w:spacing w:line="600" w:lineRule="exact"/>
        <w:ind w:left="0" w:firstLine="560" w:firstLineChars="200"/>
        <w:jc w:val="left"/>
        <w:rPr>
          <w:rFonts w:ascii="仿宋_GB2312" w:hAnsi="微软雅黑" w:eastAsia="仿宋_GB2312" w:cs="宋体"/>
          <w:kern w:val="0"/>
          <w:sz w:val="28"/>
          <w:szCs w:val="28"/>
        </w:rPr>
      </w:pPr>
      <w:r>
        <w:rPr>
          <w:rFonts w:hint="eastAsia" w:ascii="仿宋_GB2312" w:hAnsi="宋体" w:eastAsia="仿宋_GB2312" w:cs="宋体"/>
          <w:kern w:val="0"/>
          <w:sz w:val="28"/>
          <w:szCs w:val="28"/>
        </w:rPr>
        <w:t>甲方建立并有效执行协助开户制度，</w:t>
      </w:r>
      <w:r>
        <w:rPr>
          <w:rFonts w:hint="eastAsia" w:ascii="仿宋_GB2312" w:eastAsia="仿宋_GB2312"/>
          <w:sz w:val="28"/>
          <w:szCs w:val="28"/>
        </w:rPr>
        <w:t>协助乙方严格执行股票期权投资者适当性管理制度，</w:t>
      </w:r>
      <w:r>
        <w:rPr>
          <w:rFonts w:hint="eastAsia" w:ascii="仿宋_GB2312" w:hAnsi="宋体" w:eastAsia="仿宋_GB2312" w:cs="宋体"/>
          <w:kern w:val="0"/>
          <w:sz w:val="28"/>
          <w:szCs w:val="28"/>
        </w:rPr>
        <w:t>指导客户阅读和签署《股票期权风险揭示书》、《股票期权经纪合同》等相关文件，对客户开户资料的真实性、合规性、完整性进行审查，</w:t>
      </w:r>
      <w:r>
        <w:rPr>
          <w:rFonts w:ascii="仿宋_GB2312" w:hAnsi="仿宋_GB2312" w:eastAsia="仿宋_GB2312"/>
          <w:sz w:val="28"/>
          <w:szCs w:val="28"/>
        </w:rPr>
        <w:t>做好开户入金指导，</w:t>
      </w:r>
      <w:r>
        <w:rPr>
          <w:rFonts w:hint="eastAsia" w:ascii="仿宋_GB2312" w:hAnsi="宋体" w:eastAsia="仿宋_GB2312" w:cs="宋体"/>
          <w:kern w:val="0"/>
          <w:sz w:val="28"/>
          <w:szCs w:val="28"/>
        </w:rPr>
        <w:t>并及时将符合适当性管理要求的客户开户资料提交乙方。</w:t>
      </w:r>
    </w:p>
    <w:p w14:paraId="1CD9D348">
      <w:pPr>
        <w:autoSpaceDN w:val="0"/>
        <w:spacing w:line="60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乙方在复核</w:t>
      </w:r>
      <w:r>
        <w:rPr>
          <w:rFonts w:ascii="仿宋_GB2312" w:hAnsi="仿宋_GB2312" w:eastAsia="仿宋_GB2312" w:cs="宋体"/>
          <w:kern w:val="0"/>
          <w:sz w:val="28"/>
          <w:szCs w:val="28"/>
        </w:rPr>
        <w:t>甲方提交的客户开户资料无误后，</w:t>
      </w:r>
      <w:r>
        <w:rPr>
          <w:rFonts w:hint="eastAsia" w:ascii="仿宋_GB2312" w:hAnsi="宋体" w:eastAsia="仿宋_GB2312"/>
          <w:sz w:val="28"/>
          <w:szCs w:val="28"/>
        </w:rPr>
        <w:t>与客户签订股票期权经纪合同，办理开户手续。</w:t>
      </w:r>
    </w:p>
    <w:p w14:paraId="14EF3B27">
      <w:pPr>
        <w:autoSpaceDN w:val="0"/>
        <w:spacing w:line="60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股票期权客户的反洗钱工作由乙方负责。甲方分支机构协助乙方在客户办理开户手续时，完成客户身份识别工作，同时采集并留存客户的影像资料。</w:t>
      </w:r>
    </w:p>
    <w:p w14:paraId="694A2608">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hint="eastAsia" w:ascii="仿宋_GB2312" w:hAnsi="宋体" w:eastAsia="仿宋_GB2312" w:cs="宋体"/>
          <w:kern w:val="0"/>
          <w:sz w:val="28"/>
          <w:szCs w:val="28"/>
        </w:rPr>
        <w:t>乙方应当及时对介绍业务客户进行回访，确认客户了解股票期权交易风险及股票期权经纪合同主要条款。</w:t>
      </w:r>
    </w:p>
    <w:p w14:paraId="25DEB2F3">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甲乙双方应各自对股票期权交易涉及的行情、交易系统及设备负责，并共同作好股票期权交易数据传送的安全保密工作。</w:t>
      </w:r>
    </w:p>
    <w:p w14:paraId="2A802AD0">
      <w:pPr>
        <w:widowControl/>
        <w:shd w:val="clear" w:color="auto" w:fill="FFFFFF"/>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甲方应协助乙方维护股票期权交易系统的稳定运行，保证股票期权交易数据传送的安全和独立。</w:t>
      </w:r>
    </w:p>
    <w:p w14:paraId="578C85AF">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甲方应告知所介绍客户获取股票期权交易结算</w:t>
      </w:r>
      <w:r>
        <w:rPr>
          <w:rFonts w:hint="eastAsia" w:ascii="仿宋_GB2312" w:hAnsi="仿宋_GB2312" w:eastAsia="仿宋_GB2312"/>
          <w:sz w:val="28"/>
          <w:szCs w:val="28"/>
        </w:rPr>
        <w:t>结果</w:t>
      </w:r>
      <w:r>
        <w:rPr>
          <w:rFonts w:ascii="仿宋_GB2312" w:hAnsi="仿宋_GB2312" w:eastAsia="仿宋_GB2312"/>
          <w:sz w:val="28"/>
          <w:szCs w:val="28"/>
        </w:rPr>
        <w:t>的渠道或方式，提示客户有义务及时查看，并协助有异议的客户向乙方提出异议。</w:t>
      </w:r>
    </w:p>
    <w:p w14:paraId="27D8E761">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hint="eastAsia" w:ascii="仿宋_GB2312" w:hAnsi="宋体" w:eastAsia="仿宋_GB2312" w:cs="宋体"/>
          <w:kern w:val="0"/>
          <w:sz w:val="28"/>
          <w:szCs w:val="28"/>
        </w:rPr>
        <w:t>乙方负责股票期权业务风险控制制度的制定和执行，并负责向客户发送追加保证金通知和执行强行平仓。</w:t>
      </w:r>
    </w:p>
    <w:p w14:paraId="57C5E907">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hint="eastAsia" w:ascii="仿宋_GB2312" w:hAnsi="宋体" w:eastAsia="仿宋_GB2312" w:cs="宋体"/>
          <w:kern w:val="0"/>
          <w:sz w:val="28"/>
          <w:szCs w:val="28"/>
        </w:rPr>
        <w:t>甲方按照约定承担协助风险控制职责的，提供下列服务：</w:t>
      </w:r>
    </w:p>
    <w:p w14:paraId="6ECAC9E6">
      <w:pPr>
        <w:widowControl/>
        <w:shd w:val="clear" w:color="auto" w:fill="FFFFFF"/>
        <w:spacing w:line="60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1、当客户被乙方通知追加保证金或被强行平仓时，甲方受乙方委托，对客户进行督促或解释工作；</w:t>
      </w:r>
    </w:p>
    <w:p w14:paraId="3DD78554">
      <w:pPr>
        <w:widowControl/>
        <w:shd w:val="clear" w:color="auto" w:fill="FFFFFF"/>
        <w:spacing w:line="600" w:lineRule="exact"/>
        <w:ind w:firstLine="560" w:firstLineChars="200"/>
        <w:jc w:val="left"/>
        <w:rPr>
          <w:rFonts w:ascii="仿宋_GB2312" w:hAnsi="宋体" w:eastAsia="仿宋_GB2312"/>
          <w:sz w:val="28"/>
          <w:szCs w:val="28"/>
        </w:rPr>
      </w:pPr>
      <w:r>
        <w:rPr>
          <w:rFonts w:ascii="仿宋_GB2312" w:hAnsi="宋体" w:eastAsia="仿宋_GB2312" w:cs="宋体"/>
          <w:kern w:val="0"/>
          <w:sz w:val="28"/>
          <w:szCs w:val="28"/>
        </w:rPr>
        <w:t>2、当股票期权、现货市场行情发生重大变化或者客户可能出现交易风险时，甲方受乙方委托进行风险提示。</w:t>
      </w:r>
    </w:p>
    <w:p w14:paraId="4A23D877">
      <w:pPr>
        <w:widowControl/>
        <w:shd w:val="clear" w:color="auto" w:fill="FFFFFF"/>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甲方协助乙方从事向客户提示风险等工作的，乙方应向甲方提供必要的风险控制系统及报表等，以便甲方开展相关工作。</w:t>
      </w:r>
    </w:p>
    <w:p w14:paraId="59F8FE0E">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 xml:space="preserve">甲乙双方中任何一方被监管机关采取限制、取消相关业务资格等监管措施时，应自事发之日起 </w:t>
      </w:r>
      <w:r>
        <w:rPr>
          <w:rFonts w:ascii="仿宋_GB2312" w:hAnsi="仿宋_GB2312" w:eastAsia="仿宋_GB2312"/>
          <w:sz w:val="28"/>
          <w:szCs w:val="28"/>
          <w:u w:val="single"/>
        </w:rPr>
        <w:t xml:space="preserve">   </w:t>
      </w:r>
      <w:r>
        <w:rPr>
          <w:rFonts w:ascii="仿宋_GB2312" w:hAnsi="仿宋_GB2312" w:eastAsia="仿宋_GB2312"/>
          <w:sz w:val="28"/>
          <w:szCs w:val="28"/>
        </w:rPr>
        <w:t>个工作日内书面通知对方。</w:t>
      </w:r>
    </w:p>
    <w:p w14:paraId="04EEF4A2">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hint="eastAsia" w:ascii="仿宋_GB2312" w:hAnsi="宋体" w:eastAsia="仿宋_GB2312" w:cs="宋体"/>
          <w:kern w:val="0"/>
          <w:sz w:val="28"/>
          <w:szCs w:val="28"/>
        </w:rPr>
        <w:t>甲乙双方应当建立和完善介绍业务相关信息系统管理制度。任何一方变更、升级信息系统的，应当做好变更、升级的书面留痕工作，提前</w:t>
      </w:r>
      <w:r>
        <w:rPr>
          <w:rFonts w:ascii="仿宋_GB2312" w:hAnsi="宋体" w:eastAsia="仿宋_GB2312" w:cs="宋体"/>
          <w:kern w:val="0"/>
          <w:sz w:val="28"/>
          <w:szCs w:val="28"/>
        </w:rPr>
        <w:t xml:space="preserve">3 </w:t>
      </w:r>
      <w:r>
        <w:rPr>
          <w:rFonts w:hint="eastAsia" w:ascii="仿宋_GB2312" w:hAnsi="宋体" w:eastAsia="仿宋_GB2312" w:cs="宋体"/>
          <w:kern w:val="0"/>
          <w:sz w:val="28"/>
          <w:szCs w:val="28"/>
        </w:rPr>
        <w:t>个工作日书面通知对方，并通过适当的方式告知客户防范可能出现的风险。</w:t>
      </w:r>
    </w:p>
    <w:p w14:paraId="237E6917">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hint="eastAsia" w:ascii="仿宋_GB2312" w:hAnsi="仿宋_GB2312" w:eastAsia="仿宋_GB2312" w:cs="仿宋_GB2312"/>
          <w:sz w:val="28"/>
          <w:szCs w:val="28"/>
        </w:rPr>
        <w:t>客户出入金必须在乙方的股票期权保证金账户和客户所指定的股票期权结算账户之间进行。</w:t>
      </w:r>
    </w:p>
    <w:p w14:paraId="547F2306">
      <w:pPr>
        <w:widowControl/>
        <w:numPr>
          <w:ilvl w:val="0"/>
          <w:numId w:val="5"/>
        </w:numPr>
        <w:shd w:val="clear" w:color="auto" w:fill="FFFFFF"/>
        <w:spacing w:line="600" w:lineRule="exact"/>
        <w:ind w:left="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乙方变更或撤销股票期权保证金账户的，应当在向监管机关和股票期权保证金安全存管监控机构备案之日起</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个工作日内书面通知甲方，并依法向客户披露变更或者撤销情况。</w:t>
      </w:r>
    </w:p>
    <w:p w14:paraId="543F90B3">
      <w:pPr>
        <w:widowControl/>
        <w:shd w:val="clear" w:color="auto" w:fill="FFFFFF"/>
        <w:spacing w:line="420" w:lineRule="atLeast"/>
        <w:jc w:val="center"/>
        <w:rPr>
          <w:rFonts w:ascii="仿宋_GB2312" w:hAnsi="仿宋_GB2312" w:eastAsia="仿宋_GB2312" w:cs="仿宋_GB2312"/>
          <w:sz w:val="28"/>
          <w:szCs w:val="28"/>
        </w:rPr>
      </w:pPr>
      <w:r>
        <w:rPr>
          <w:rFonts w:ascii="仿宋_GB2312" w:hAnsi="仿宋_GB2312" w:eastAsia="仿宋_GB2312" w:cs="仿宋_GB2312"/>
          <w:b/>
          <w:sz w:val="28"/>
          <w:szCs w:val="28"/>
        </w:rPr>
        <w:t>第</w:t>
      </w:r>
      <w:r>
        <w:rPr>
          <w:rFonts w:hint="eastAsia" w:ascii="仿宋_GB2312" w:hAnsi="仿宋_GB2312" w:eastAsia="仿宋_GB2312" w:cs="仿宋_GB2312"/>
          <w:b/>
          <w:sz w:val="28"/>
          <w:szCs w:val="28"/>
        </w:rPr>
        <w:t>四</w:t>
      </w:r>
      <w:r>
        <w:rPr>
          <w:rFonts w:ascii="仿宋_GB2312" w:hAnsi="仿宋_GB2312" w:eastAsia="仿宋_GB2312" w:cs="仿宋_GB2312"/>
          <w:b/>
          <w:sz w:val="28"/>
          <w:szCs w:val="28"/>
        </w:rPr>
        <w:t>章</w:t>
      </w:r>
      <w:r>
        <w:rPr>
          <w:rFonts w:ascii="仿宋_GB2312" w:hAnsi="仿宋_GB2312" w:eastAsia="仿宋_GB2312" w:cs="仿宋_GB2312"/>
          <w:sz w:val="28"/>
          <w:szCs w:val="28"/>
        </w:rPr>
        <w:t xml:space="preserve">   </w:t>
      </w:r>
      <w:r>
        <w:rPr>
          <w:rFonts w:ascii="仿宋_GB2312" w:hAnsi="仿宋_GB2312" w:eastAsia="仿宋_GB2312" w:cs="仿宋_GB2312"/>
          <w:b/>
          <w:sz w:val="28"/>
          <w:szCs w:val="28"/>
        </w:rPr>
        <w:t>客户投诉的处理方式</w:t>
      </w:r>
    </w:p>
    <w:p w14:paraId="6A67E0FB">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hint="eastAsia" w:ascii="仿宋_GB2312" w:hAnsi="仿宋_GB2312" w:eastAsia="仿宋_GB2312" w:cs="仿宋_GB2312"/>
          <w:color w:val="000000"/>
          <w:sz w:val="28"/>
          <w:szCs w:val="28"/>
        </w:rPr>
        <w:t>乙方负</w:t>
      </w:r>
      <w:r>
        <w:rPr>
          <w:rFonts w:hint="eastAsia" w:ascii="仿宋_GB2312" w:hAnsi="仿宋_GB2312" w:eastAsia="仿宋_GB2312" w:cs="仿宋_GB2312"/>
          <w:color w:val="000000"/>
          <w:sz w:val="28"/>
          <w:szCs w:val="28"/>
          <w:u w:val="single"/>
        </w:rPr>
        <w:t>责客户投</w:t>
      </w:r>
      <w:r>
        <w:rPr>
          <w:rFonts w:hint="eastAsia" w:ascii="仿宋_GB2312" w:hAnsi="仿宋_GB2312" w:eastAsia="仿宋_GB2312" w:cs="仿宋_GB2312"/>
          <w:color w:val="000000"/>
          <w:sz w:val="28"/>
          <w:szCs w:val="28"/>
        </w:rPr>
        <w:t>诉的具体处理工作，如需甲方配合，甲方应予以协助。</w:t>
      </w:r>
      <w:r>
        <w:rPr>
          <w:rFonts w:ascii="仿宋_GB2312" w:hAnsi="仿宋_GB2312" w:eastAsia="仿宋_GB2312" w:cs="仿宋_GB2312"/>
          <w:sz w:val="28"/>
          <w:szCs w:val="28"/>
        </w:rPr>
        <w:t>甲乙双方应当</w:t>
      </w:r>
      <w:r>
        <w:rPr>
          <w:rFonts w:ascii="仿宋_GB2312" w:hAnsi="仿宋_GB2312" w:eastAsia="仿宋_GB2312"/>
          <w:sz w:val="28"/>
          <w:szCs w:val="28"/>
        </w:rPr>
        <w:t>建立健全各自的客户投诉接待处理制度以及双方的协作程序，</w:t>
      </w:r>
      <w:r>
        <w:rPr>
          <w:rFonts w:hint="eastAsia" w:ascii="仿宋_GB2312" w:hAnsi="仿宋_GB2312" w:eastAsia="仿宋_GB2312"/>
          <w:sz w:val="28"/>
          <w:szCs w:val="28"/>
        </w:rPr>
        <w:t>指定</w:t>
      </w:r>
      <w:r>
        <w:rPr>
          <w:rFonts w:ascii="仿宋_GB2312" w:hAnsi="仿宋_GB2312" w:eastAsia="仿宋_GB2312"/>
          <w:sz w:val="28"/>
          <w:szCs w:val="28"/>
        </w:rPr>
        <w:t>具体部门和人员负责双方的客户投诉情况的沟通与联络。</w:t>
      </w:r>
    </w:p>
    <w:p w14:paraId="5E9D1DAC">
      <w:pPr>
        <w:widowControl/>
        <w:shd w:val="clear" w:color="auto" w:fill="FFFFFF"/>
        <w:spacing w:line="600" w:lineRule="exact"/>
        <w:ind w:firstLine="567"/>
        <w:jc w:val="left"/>
        <w:rPr>
          <w:rFonts w:ascii="仿宋_GB2312" w:hAnsi="宋体" w:eastAsia="仿宋_GB2312"/>
          <w:sz w:val="28"/>
          <w:szCs w:val="28"/>
        </w:rPr>
      </w:pPr>
      <w:r>
        <w:rPr>
          <w:rFonts w:ascii="仿宋_GB2312" w:hAnsi="仿宋_GB2312" w:eastAsia="仿宋_GB2312"/>
          <w:sz w:val="28"/>
          <w:szCs w:val="28"/>
        </w:rPr>
        <w:t>甲乙双方应将各自的客户投诉方式或渠道对外予以公布。</w:t>
      </w:r>
    </w:p>
    <w:p w14:paraId="0AF6BAED">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乙双方应按照约定的协作程序和规则，本着服务客户、服务合作伙伴的原则，积极、稳妥地处理客户投诉；对投诉本方的应及时处理不推诿，对投诉合作对方的应及时移交并配合做好处理工作，对投诉涉及双方的应及时会同处理。</w:t>
      </w:r>
    </w:p>
    <w:p w14:paraId="7AC2B450">
      <w:pPr>
        <w:widowControl/>
        <w:shd w:val="clear" w:color="auto" w:fill="FFFFFF"/>
        <w:spacing w:line="420" w:lineRule="atLeast"/>
        <w:jc w:val="center"/>
        <w:rPr>
          <w:rFonts w:hAnsi="宋体"/>
          <w:sz w:val="28"/>
          <w:szCs w:val="28"/>
        </w:rPr>
      </w:pPr>
      <w:r>
        <w:rPr>
          <w:rFonts w:ascii="仿宋_GB2312" w:hAnsi="仿宋_GB2312" w:eastAsia="仿宋_GB2312"/>
          <w:b/>
          <w:sz w:val="28"/>
          <w:szCs w:val="28"/>
        </w:rPr>
        <w:t>第</w:t>
      </w:r>
      <w:r>
        <w:rPr>
          <w:rFonts w:hint="eastAsia" w:ascii="仿宋_GB2312" w:hAnsi="仿宋_GB2312" w:eastAsia="仿宋_GB2312"/>
          <w:b/>
          <w:sz w:val="28"/>
          <w:szCs w:val="28"/>
        </w:rPr>
        <w:t>五</w:t>
      </w:r>
      <w:r>
        <w:rPr>
          <w:rFonts w:ascii="仿宋_GB2312" w:hAnsi="仿宋_GB2312" w:eastAsia="仿宋_GB2312"/>
          <w:b/>
          <w:sz w:val="28"/>
          <w:szCs w:val="28"/>
        </w:rPr>
        <w:t>章   违约责任及协议的终止</w:t>
      </w:r>
    </w:p>
    <w:p w14:paraId="2393C27C">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乙双方因任何一方违反本协议，而给对方所造成实际损失的，应当承担赔偿责任。一方严重违反本协议，导致本协议不能履行的，非违约方有权解除协议并要求赔偿，协议自非违约方发出书面解约通知之日起解除。</w:t>
      </w:r>
    </w:p>
    <w:p w14:paraId="1E1C8F19">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因出现火灾、地</w:t>
      </w:r>
      <w:r>
        <w:rPr>
          <w:rFonts w:ascii="仿宋_GB2312" w:hAnsi="宋体" w:eastAsia="仿宋_GB2312"/>
          <w:sz w:val="28"/>
          <w:szCs w:val="28"/>
        </w:rPr>
        <w:t xml:space="preserve"> </w:t>
      </w:r>
      <w:r>
        <w:rPr>
          <w:rFonts w:ascii="仿宋_GB2312" w:hAnsi="仿宋_GB2312" w:eastAsia="仿宋_GB2312"/>
          <w:sz w:val="28"/>
          <w:szCs w:val="28"/>
        </w:rPr>
        <w:t>震</w:t>
      </w:r>
      <w:r>
        <w:rPr>
          <w:rFonts w:ascii="仿宋_GB2312" w:hAnsi="宋体" w:eastAsia="仿宋_GB2312"/>
          <w:sz w:val="28"/>
          <w:szCs w:val="28"/>
        </w:rPr>
        <w:t xml:space="preserve"> </w:t>
      </w:r>
      <w:r>
        <w:rPr>
          <w:rFonts w:ascii="仿宋_GB2312" w:hAnsi="仿宋_GB2312" w:eastAsia="仿宋_GB2312"/>
          <w:sz w:val="28"/>
          <w:szCs w:val="28"/>
        </w:rPr>
        <w:t>、瘟疫、社会动乱等不能预见、不能避免并不能克服的不可抗力情形，或因出现无法控制和不可预测的系统故障、设备故障</w:t>
      </w:r>
      <w:r>
        <w:rPr>
          <w:rFonts w:ascii="仿宋_GB2312" w:hAnsi="宋体" w:eastAsia="仿宋_GB2312"/>
          <w:sz w:val="28"/>
          <w:szCs w:val="28"/>
        </w:rPr>
        <w:t xml:space="preserve"> </w:t>
      </w:r>
      <w:r>
        <w:rPr>
          <w:rFonts w:ascii="仿宋_GB2312" w:hAnsi="仿宋_GB2312" w:eastAsia="仿宋_GB2312"/>
          <w:sz w:val="28"/>
          <w:szCs w:val="28"/>
        </w:rPr>
        <w:t>、通讯故障、电力故障等异常事故，或因本协议生效后新颁布、实施或修改的法律、法规、规章、规则或政策等因素，导致协议任何一方不能及时或完全履行本协议的，其相应责任应予免除。</w:t>
      </w:r>
    </w:p>
    <w:p w14:paraId="30439B25">
      <w:pPr>
        <w:widowControl/>
        <w:shd w:val="clear" w:color="auto" w:fill="FFFFFF"/>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遭受不可抗力、异常事故或知悉政策法律变化的一方或双方应在遭受不可抗力、异常事故或知悉政策法律变化后</w:t>
      </w:r>
      <w:r>
        <w:rPr>
          <w:rFonts w:ascii="仿宋_GB2312" w:hAnsi="宋体" w:eastAsia="仿宋_GB2312"/>
          <w:sz w:val="28"/>
          <w:szCs w:val="28"/>
        </w:rPr>
        <w:t xml:space="preserve"> </w:t>
      </w:r>
      <w:r>
        <w:rPr>
          <w:rFonts w:ascii="仿宋_GB2312" w:hAnsi="仿宋_GB2312" w:eastAsia="仿宋_GB2312"/>
          <w:sz w:val="28"/>
          <w:szCs w:val="28"/>
        </w:rPr>
        <w:t xml:space="preserve">的 </w:t>
      </w:r>
      <w:r>
        <w:rPr>
          <w:rFonts w:ascii="仿宋_GB2312" w:hAnsi="仿宋_GB2312" w:eastAsia="仿宋_GB2312"/>
          <w:sz w:val="28"/>
          <w:szCs w:val="28"/>
          <w:u w:val="single"/>
        </w:rPr>
        <w:t xml:space="preserve">  </w:t>
      </w:r>
      <w:r>
        <w:rPr>
          <w:rFonts w:ascii="仿宋_GB2312" w:hAnsi="仿宋_GB2312" w:eastAsia="仿宋_GB2312"/>
          <w:sz w:val="28"/>
          <w:szCs w:val="28"/>
        </w:rPr>
        <w:t>日内书面通知另一方，并提供相应证明，双方应积极协调善后事宜。</w:t>
      </w:r>
    </w:p>
    <w:p w14:paraId="199FD679">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甲乙双方均有权解除本协议。除有本协议第二十</w:t>
      </w:r>
      <w:r>
        <w:rPr>
          <w:rFonts w:hint="eastAsia" w:ascii="仿宋_GB2312" w:hAnsi="仿宋_GB2312" w:eastAsia="仿宋_GB2312"/>
          <w:sz w:val="28"/>
          <w:szCs w:val="28"/>
        </w:rPr>
        <w:t>五</w:t>
      </w:r>
      <w:r>
        <w:rPr>
          <w:rFonts w:ascii="仿宋_GB2312" w:hAnsi="仿宋_GB2312" w:eastAsia="仿宋_GB2312"/>
          <w:sz w:val="28"/>
          <w:szCs w:val="28"/>
        </w:rPr>
        <w:t>条规定的情形外，主张解除协议的一方应当提前一个月书面通知对方。</w:t>
      </w:r>
    </w:p>
    <w:p w14:paraId="59F6E114">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甲乙双方因丧失业务资格或依法不能从事相关业务，本协议自动终止</w:t>
      </w:r>
      <w:r>
        <w:rPr>
          <w:rFonts w:hint="eastAsia" w:ascii="仿宋_GB2312" w:hAnsi="仿宋_GB2312" w:eastAsia="仿宋_GB2312"/>
          <w:sz w:val="28"/>
          <w:szCs w:val="28"/>
        </w:rPr>
        <w:t>。</w:t>
      </w:r>
    </w:p>
    <w:p w14:paraId="6579D238">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协议解除或终止后，介绍业务的报酬和相关费用的支付等善后事宜，由双方协商处理。</w:t>
      </w:r>
    </w:p>
    <w:p w14:paraId="7B89F97E">
      <w:pPr>
        <w:widowControl/>
        <w:shd w:val="clear" w:color="auto" w:fill="FFFFFF"/>
        <w:spacing w:line="420" w:lineRule="atLeast"/>
        <w:jc w:val="center"/>
        <w:rPr>
          <w:rFonts w:hAnsi="宋体"/>
          <w:sz w:val="28"/>
          <w:szCs w:val="28"/>
        </w:rPr>
      </w:pPr>
      <w:r>
        <w:rPr>
          <w:rFonts w:ascii="仿宋_GB2312" w:hAnsi="仿宋_GB2312" w:eastAsia="仿宋_GB2312"/>
          <w:b/>
          <w:sz w:val="28"/>
          <w:szCs w:val="28"/>
        </w:rPr>
        <w:t>第</w:t>
      </w:r>
      <w:r>
        <w:rPr>
          <w:rFonts w:hint="eastAsia" w:ascii="仿宋_GB2312" w:hAnsi="仿宋_GB2312" w:eastAsia="仿宋_GB2312"/>
          <w:b/>
          <w:sz w:val="28"/>
          <w:szCs w:val="28"/>
        </w:rPr>
        <w:t>六</w:t>
      </w:r>
      <w:r>
        <w:rPr>
          <w:rFonts w:ascii="仿宋_GB2312" w:hAnsi="仿宋_GB2312" w:eastAsia="仿宋_GB2312"/>
          <w:b/>
          <w:sz w:val="28"/>
          <w:szCs w:val="28"/>
        </w:rPr>
        <w:t xml:space="preserve">章 </w:t>
      </w:r>
      <w:r>
        <w:rPr>
          <w:rFonts w:hAnsi="宋体"/>
          <w:b/>
          <w:sz w:val="28"/>
          <w:szCs w:val="28"/>
        </w:rPr>
        <w:t xml:space="preserve">     </w:t>
      </w:r>
      <w:r>
        <w:rPr>
          <w:rFonts w:ascii="仿宋_GB2312" w:hAnsi="仿宋_GB2312" w:eastAsia="仿宋_GB2312"/>
          <w:b/>
          <w:sz w:val="28"/>
          <w:szCs w:val="28"/>
        </w:rPr>
        <w:t>其他约定</w:t>
      </w:r>
    </w:p>
    <w:p w14:paraId="79A74403">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甲乙双方对于在介绍业务过程中获知的对方或客户的资料和信息，负有保密义务。未经另一方或客户事先书面许可，任何一方不得对外披露、透露或提供有关的资料和信息。违反本约定给对方或客户造成损失的，应当负赔偿责任</w:t>
      </w:r>
      <w:r>
        <w:rPr>
          <w:rFonts w:hint="eastAsia" w:ascii="仿宋_GB2312" w:hAnsi="仿宋_GB2312" w:eastAsia="仿宋_GB2312"/>
          <w:sz w:val="28"/>
          <w:szCs w:val="28"/>
        </w:rPr>
        <w:t>。</w:t>
      </w:r>
    </w:p>
    <w:p w14:paraId="6F6FA489">
      <w:pPr>
        <w:widowControl/>
        <w:shd w:val="clear" w:color="auto" w:fill="FFFFFF"/>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国家有关部门依法要求查询或要求提供有关的资料和信息的，不受前款约束。</w:t>
      </w:r>
    </w:p>
    <w:p w14:paraId="4F61024D">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有关本协议的签署、效力和争议解决等均适用中华人民共和国法律、法规及其他有关规章、规则。</w:t>
      </w:r>
    </w:p>
    <w:p w14:paraId="4E7EED6F">
      <w:pPr>
        <w:widowControl/>
        <w:shd w:val="clear" w:color="auto" w:fill="FFFFFF"/>
        <w:spacing w:line="600" w:lineRule="exact"/>
        <w:ind w:firstLine="560" w:firstLineChars="200"/>
        <w:jc w:val="left"/>
        <w:rPr>
          <w:rFonts w:ascii="仿宋_GB2312" w:hAnsi="宋体" w:eastAsia="仿宋_GB2312"/>
          <w:sz w:val="28"/>
          <w:szCs w:val="28"/>
        </w:rPr>
      </w:pPr>
      <w:r>
        <w:rPr>
          <w:rFonts w:ascii="仿宋_GB2312" w:hAnsi="仿宋_GB2312" w:eastAsia="仿宋_GB2312"/>
          <w:sz w:val="28"/>
          <w:szCs w:val="28"/>
        </w:rPr>
        <w:t>本协议签署后，若有关法律、法规、规章、规则修订，本协议与之不相适应的内容及条款自行失效，相关内容及条款按新修订的法律、法规、规章、规则办理。但本协议其他内容和条款继续有效。</w:t>
      </w:r>
    </w:p>
    <w:p w14:paraId="4C49943C">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本协议执行中如发生争议</w:t>
      </w:r>
      <w:r>
        <w:rPr>
          <w:rFonts w:ascii="仿宋_GB2312" w:hAnsi="宋体" w:eastAsia="仿宋_GB2312"/>
          <w:sz w:val="28"/>
          <w:szCs w:val="28"/>
        </w:rPr>
        <w:t xml:space="preserve"> </w:t>
      </w:r>
      <w:r>
        <w:rPr>
          <w:rFonts w:ascii="仿宋_GB2312" w:hAnsi="仿宋_GB2312" w:eastAsia="仿宋_GB2312"/>
          <w:sz w:val="28"/>
          <w:szCs w:val="28"/>
        </w:rPr>
        <w:t xml:space="preserve">，由双方友好协商解决。协商不成的，双方可以提请中国证券业协会、中国期货业协会调解，也可以采取以下第 </w:t>
      </w:r>
      <w:r>
        <w:rPr>
          <w:rFonts w:ascii="仿宋_GB2312" w:hAnsi="仿宋_GB2312" w:eastAsia="仿宋_GB2312"/>
          <w:sz w:val="28"/>
          <w:szCs w:val="28"/>
          <w:u w:val="single"/>
        </w:rPr>
        <w:t xml:space="preserve">       </w:t>
      </w:r>
      <w:r>
        <w:rPr>
          <w:rFonts w:ascii="仿宋_GB2312" w:hAnsi="仿宋_GB2312" w:eastAsia="仿宋_GB2312"/>
          <w:sz w:val="28"/>
          <w:szCs w:val="28"/>
        </w:rPr>
        <w:t>种方式解决：</w:t>
      </w:r>
    </w:p>
    <w:p w14:paraId="32ADDDF9">
      <w:pPr>
        <w:pStyle w:val="69"/>
        <w:autoSpaceDN w:val="0"/>
        <w:spacing w:line="600" w:lineRule="exact"/>
        <w:ind w:firstLine="560"/>
        <w:jc w:val="left"/>
        <w:rPr>
          <w:rFonts w:ascii="仿宋_GB2312" w:hAnsi="宋体" w:eastAsia="仿宋_GB2312"/>
          <w:sz w:val="28"/>
          <w:szCs w:val="28"/>
        </w:rPr>
      </w:pPr>
      <w:r>
        <w:rPr>
          <w:rFonts w:ascii="仿宋_GB2312" w:hAnsi="仿宋_GB2312" w:eastAsia="仿宋_GB2312"/>
          <w:sz w:val="28"/>
          <w:szCs w:val="28"/>
        </w:rPr>
        <w:t>（一）向</w:t>
      </w:r>
      <w:r>
        <w:rPr>
          <w:rFonts w:ascii="仿宋_GB2312" w:hAnsi="宋体" w:eastAsia="仿宋_GB2312"/>
          <w:sz w:val="28"/>
          <w:szCs w:val="28"/>
        </w:rPr>
        <w:t xml:space="preserve"> </w:t>
      </w:r>
      <w:r>
        <w:rPr>
          <w:rFonts w:ascii="仿宋_GB2312" w:hAnsi="仿宋_GB2312" w:eastAsia="仿宋_GB2312"/>
          <w:sz w:val="28"/>
          <w:szCs w:val="28"/>
          <w:u w:val="single"/>
        </w:rPr>
        <w:t xml:space="preserve">                    </w:t>
      </w:r>
      <w:r>
        <w:rPr>
          <w:rFonts w:ascii="仿宋_GB2312" w:hAnsi="仿宋_GB2312" w:eastAsia="仿宋_GB2312"/>
          <w:sz w:val="28"/>
          <w:szCs w:val="28"/>
        </w:rPr>
        <w:t>仲裁委员会申请按照该会仲裁</w:t>
      </w:r>
      <w:r>
        <w:rPr>
          <w:rFonts w:ascii="仿宋_GB2312" w:hAnsi="宋体" w:eastAsia="仿宋_GB2312"/>
          <w:sz w:val="28"/>
          <w:szCs w:val="28"/>
        </w:rPr>
        <w:t xml:space="preserve"> </w:t>
      </w:r>
      <w:r>
        <w:rPr>
          <w:rFonts w:ascii="仿宋_GB2312" w:hAnsi="仿宋_GB2312" w:eastAsia="仿宋_GB2312"/>
          <w:sz w:val="28"/>
          <w:szCs w:val="28"/>
        </w:rPr>
        <w:t>规则进行仲裁</w:t>
      </w:r>
      <w:r>
        <w:rPr>
          <w:rFonts w:ascii="仿宋_GB2312" w:hAnsi="宋体" w:eastAsia="仿宋_GB2312"/>
          <w:sz w:val="28"/>
          <w:szCs w:val="28"/>
        </w:rPr>
        <w:t xml:space="preserve"> </w:t>
      </w:r>
      <w:r>
        <w:rPr>
          <w:rFonts w:ascii="仿宋_GB2312" w:hAnsi="仿宋_GB2312" w:eastAsia="仿宋_GB2312"/>
          <w:sz w:val="28"/>
          <w:szCs w:val="28"/>
        </w:rPr>
        <w:t xml:space="preserve">。 </w:t>
      </w:r>
    </w:p>
    <w:p w14:paraId="4C2050CB">
      <w:pPr>
        <w:pStyle w:val="69"/>
        <w:widowControl/>
        <w:shd w:val="clear" w:color="auto" w:fill="FFFFFF"/>
        <w:spacing w:line="600" w:lineRule="exact"/>
        <w:ind w:firstLine="560"/>
        <w:jc w:val="left"/>
        <w:rPr>
          <w:rFonts w:ascii="仿宋_GB2312" w:hAnsi="宋体" w:eastAsia="仿宋_GB2312"/>
          <w:sz w:val="28"/>
          <w:szCs w:val="28"/>
        </w:rPr>
      </w:pPr>
      <w:r>
        <w:rPr>
          <w:rFonts w:hint="eastAsia" w:ascii="仿宋_GB2312" w:hAnsi="仿宋_GB2312" w:eastAsia="仿宋_GB2312"/>
          <w:sz w:val="28"/>
          <w:szCs w:val="28"/>
        </w:rPr>
        <w:t>（二）向</w:t>
      </w:r>
      <w:r>
        <w:rPr>
          <w:rFonts w:ascii="仿宋_GB2312" w:hAnsi="仿宋_GB2312" w:eastAsia="仿宋_GB2312"/>
          <w:sz w:val="28"/>
          <w:szCs w:val="28"/>
        </w:rPr>
        <w:t xml:space="preserve"> </w:t>
      </w:r>
      <w:r>
        <w:rPr>
          <w:rFonts w:ascii="仿宋_GB2312" w:hAnsi="仿宋_GB2312" w:eastAsia="仿宋_GB2312"/>
          <w:sz w:val="28"/>
          <w:szCs w:val="28"/>
          <w:u w:val="single"/>
        </w:rPr>
        <w:t xml:space="preserve">                    </w:t>
      </w:r>
      <w:r>
        <w:rPr>
          <w:rFonts w:ascii="仿宋_GB2312" w:hAnsi="仿宋_GB2312" w:eastAsia="仿宋_GB2312"/>
          <w:sz w:val="28"/>
          <w:szCs w:val="28"/>
        </w:rPr>
        <w:t>方所在地人民法院提起诉讼</w:t>
      </w:r>
      <w:r>
        <w:rPr>
          <w:rFonts w:hint="eastAsia" w:ascii="仿宋_GB2312" w:hAnsi="仿宋_GB2312" w:eastAsia="仿宋_GB2312"/>
          <w:sz w:val="28"/>
          <w:szCs w:val="28"/>
        </w:rPr>
        <w:t>。</w:t>
      </w:r>
    </w:p>
    <w:p w14:paraId="1661E9EC">
      <w:pPr>
        <w:widowControl/>
        <w:numPr>
          <w:ilvl w:val="0"/>
          <w:numId w:val="5"/>
        </w:numPr>
        <w:shd w:val="clear" w:color="auto" w:fill="FFFFFF"/>
        <w:spacing w:line="600" w:lineRule="exact"/>
        <w:ind w:left="0" w:firstLine="560" w:firstLineChars="200"/>
        <w:jc w:val="left"/>
        <w:rPr>
          <w:rFonts w:ascii="仿宋_GB2312" w:hAnsi="宋体" w:eastAsia="仿宋_GB2312"/>
          <w:sz w:val="28"/>
          <w:szCs w:val="28"/>
        </w:rPr>
      </w:pPr>
      <w:r>
        <w:rPr>
          <w:rFonts w:ascii="仿宋_GB2312" w:hAnsi="仿宋_GB2312" w:eastAsia="仿宋_GB2312"/>
          <w:sz w:val="28"/>
          <w:szCs w:val="28"/>
        </w:rPr>
        <w:t>本协议未尽事宜，可由甲乙双方协商解决并另行签署书面协议，该协议与本协议具有同等法律效力。</w:t>
      </w:r>
    </w:p>
    <w:p w14:paraId="6570CF35">
      <w:pPr>
        <w:autoSpaceDN w:val="0"/>
        <w:spacing w:line="600" w:lineRule="exact"/>
        <w:ind w:firstLine="560" w:firstLineChars="200"/>
        <w:rPr>
          <w:rFonts w:ascii="仿宋_GB2312" w:eastAsia="仿宋_GB2312"/>
          <w:sz w:val="28"/>
          <w:szCs w:val="28"/>
        </w:rPr>
      </w:pPr>
    </w:p>
    <w:p w14:paraId="19BE873E">
      <w:pPr>
        <w:rPr>
          <w:rFonts w:ascii="仿宋_GB2312" w:eastAsia="仿宋_GB2312"/>
          <w:color w:val="000000"/>
          <w:sz w:val="28"/>
          <w:szCs w:val="28"/>
        </w:rPr>
      </w:pPr>
    </w:p>
    <w:p w14:paraId="0016635D"/>
    <w:p w14:paraId="1BB06777"/>
    <w:p w14:paraId="644D869C"/>
    <w:p w14:paraId="26F9EECB"/>
    <w:p w14:paraId="7EB84417"/>
    <w:p w14:paraId="0AE466F9"/>
    <w:p w14:paraId="60F13C53"/>
    <w:p w14:paraId="34DE65BE"/>
    <w:p w14:paraId="76D57D2F"/>
    <w:p w14:paraId="599C4CCD"/>
    <w:p w14:paraId="6924319F"/>
    <w:p w14:paraId="686661C3"/>
    <w:p w14:paraId="6AA22F3B"/>
    <w:p w14:paraId="4A61FA58"/>
    <w:p w14:paraId="6E96194E"/>
    <w:p w14:paraId="0F5F1FC8"/>
    <w:p w14:paraId="0BD03047"/>
    <w:sectPr>
      <w:headerReference r:id="rId7" w:type="first"/>
      <w:footerReference r:id="rId9" w:type="first"/>
      <w:footerReference r:id="rId8"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A49E282-73D1-849A-61C5-276AAD27382E}"/>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A815BEF-D44D-8512-61C5-276AA14F7F85}"/>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embedRegular r:id="rId3" w:fontKey="{F44FF832-4294-F82B-61C5-276ACF3BC575}"/>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embedRegular r:id="rId4" w:fontKey="{D37F6059-6DCC-7AF0-61C5-276AA6954143}"/>
  </w:font>
  <w:font w:name="仿宋_GB2312">
    <w:panose1 w:val="02000500000000000000"/>
    <w:charset w:val="86"/>
    <w:family w:val="modern"/>
    <w:pitch w:val="default"/>
    <w:sig w:usb0="A00002BF" w:usb1="584F6CFA" w:usb2="00000012" w:usb3="00000000" w:csb0="00040001" w:csb1="00000000"/>
    <w:embedRegular r:id="rId5" w:fontKey="{E91FA33F-4DBD-207C-61C5-276A005D7BE3}"/>
  </w:font>
  <w:font w:name="Cambria">
    <w:altName w:val="Noto Sans Syriac Eastern"/>
    <w:panose1 w:val="020408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embedRegular r:id="rId6" w:fontKey="{47C7B2C9-B0FD-9EDC-61C5-276A32F1E141}"/>
  </w:font>
  <w:font w:name="楷体_GB2312">
    <w:panose1 w:val="02000000000000000000"/>
    <w:charset w:val="86"/>
    <w:family w:val="modern"/>
    <w:pitch w:val="default"/>
    <w:sig w:usb0="A00002BF" w:usb1="184F6CFA" w:usb2="00000012" w:usb3="00000000" w:csb0="00040001" w:csb1="00000000"/>
    <w:embedRegular r:id="rId7" w:fontKey="{C6E84E42-B4CE-E6E4-61C5-276A0989F454}"/>
  </w:font>
  <w:font w:name="仿宋">
    <w:altName w:val="宋体"/>
    <w:panose1 w:val="02010609060101010101"/>
    <w:charset w:val="86"/>
    <w:family w:val="modern"/>
    <w:pitch w:val="default"/>
    <w:sig w:usb0="00000000" w:usb1="00000000" w:usb2="00000016" w:usb3="00000000" w:csb0="00040001"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embedRegular r:id="rId8" w:fontKey="{6272C15C-6BC4-D636-61C5-276AE8D3B82D}"/>
  </w:font>
  <w:font w:name="方正大标宋简体">
    <w:panose1 w:val="02000000000000000000"/>
    <w:charset w:val="86"/>
    <w:family w:val="auto"/>
    <w:pitch w:val="default"/>
    <w:sig w:usb0="A00002BF" w:usb1="184F6CFA" w:usb2="00000012" w:usb3="00000000" w:csb0="00040001" w:csb1="00000000"/>
    <w:embedRegular r:id="rId9" w:fontKey="{D82D9E03-BD4F-CEC4-61C5-276A0FD7C859}"/>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embedRegular r:id="rId10" w:fontKey="{C07C90FF-FB80-54F8-61C5-276A7C32271F}"/>
  </w:font>
  <w:font w:name="微软雅黑">
    <w:altName w:val="黑体"/>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embedRegular r:id="rId11" w:fontKey="{40A8EDAE-E134-18C5-61C5-276A03EEBC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940A1">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B6C850">
                          <w:pPr>
                            <w:pStyle w:val="18"/>
                            <w:jc w:val="center"/>
                          </w:pPr>
                        </w:p>
                        <w:p w14:paraId="309FD6E5"/>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h/ikLLAQAAnAMAAA4AAAAAAAAAAQAgAAAAHgEAAGRycy9lMm9E&#10;b2MueG1sUEsFBgAAAAAGAAYAWQEAAFsFAAAAAA==&#10;">
              <v:fill on="f" focussize="0,0"/>
              <v:stroke on="f"/>
              <v:imagedata o:title=""/>
              <o:lock v:ext="edit" aspectratio="f"/>
              <v:textbox inset="0mm,0mm,0mm,0mm" style="mso-fit-shape-to-text:t;">
                <w:txbxContent>
                  <w:p w14:paraId="31B6C850">
                    <w:pPr>
                      <w:pStyle w:val="18"/>
                      <w:jc w:val="center"/>
                    </w:pPr>
                  </w:p>
                  <w:p w14:paraId="309FD6E5"/>
                </w:txbxContent>
              </v:textbox>
            </v:shape>
          </w:pict>
        </mc:Fallback>
      </mc:AlternateContent>
    </w:r>
  </w:p>
  <w:p w14:paraId="12C5B91E">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FBAE6">
    <w:pPr>
      <w:pStyle w:val="1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54301F">
                          <w:pPr>
                            <w:pStyle w:val="18"/>
                            <w:jc w:val="center"/>
                          </w:pPr>
                          <w:r>
                            <w:fldChar w:fldCharType="begin"/>
                          </w:r>
                          <w:r>
                            <w:instrText xml:space="preserve"> PAGE   \* MERGEFORMAT </w:instrText>
                          </w:r>
                          <w:r>
                            <w:fldChar w:fldCharType="separate"/>
                          </w:r>
                          <w:r>
                            <w:rPr>
                              <w:lang w:val="zh-CN"/>
                            </w:rPr>
                            <w:t>3</w:t>
                          </w:r>
                          <w:r>
                            <w:fldChar w:fldCharType="end"/>
                          </w: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fEA8s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NJZYbHPjp96/Tn3+nvz/J&#10;vLjOCnUeSkx88Jga+w+ux71JyiU/oDMR75tg0hcpEYyjvsezvrKPRKRHy8VyWWBIYGy6IA67PPcB&#10;4kfpDElGRQMOMOvKD58hDqlTSqpm3b3SOg9R2ycOxEwedukxWbHf9mPjW1cfkU+Hs6+oxVWnRH+y&#10;KG1ak8kIk7GdjL0Patdia/PcF/i7fcQmcm+pwgA7FsahZXbjgqWteHzPWZefav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GHxAPLAQAAnAMAAA4AAAAAAAAAAQAgAAAAHgEAAGRycy9lMm9E&#10;b2MueG1sUEsFBgAAAAAGAAYAWQEAAFsFAAAAAA==&#10;">
              <v:fill on="f" focussize="0,0"/>
              <v:stroke on="f"/>
              <v:imagedata o:title=""/>
              <o:lock v:ext="edit" aspectratio="f"/>
              <v:textbox inset="0mm,0mm,0mm,0mm" style="mso-fit-shape-to-text:t;">
                <w:txbxContent>
                  <w:p w14:paraId="2D54301F">
                    <w:pPr>
                      <w:pStyle w:val="18"/>
                      <w:jc w:val="center"/>
                    </w:pPr>
                    <w:r>
                      <w:fldChar w:fldCharType="begin"/>
                    </w:r>
                    <w:r>
                      <w:instrText xml:space="preserve"> PAGE   \* MERGEFORMAT </w:instrText>
                    </w:r>
                    <w:r>
                      <w:fldChar w:fldCharType="separate"/>
                    </w:r>
                    <w:r>
                      <w:rPr>
                        <w:lang w:val="zh-CN"/>
                      </w:rPr>
                      <w:t>3</w:t>
                    </w:r>
                    <w:r>
                      <w:fldChar w:fldCharType="end"/>
                    </w:r>
                  </w:p>
                </w:txbxContent>
              </v:textbox>
            </v:shape>
          </w:pict>
        </mc:Fallback>
      </mc:AlternateContent>
    </w:r>
  </w:p>
  <w:p w14:paraId="5598412D">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8661D">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6F29A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MHb41zAEAAJwDAAAOAAAAAAAAAAEAIAAAAB4BAABkcnMvZTJv&#10;RG9jLnhtbFBLBQYAAAAABgAGAFkBAABcBQAAAAA=&#10;">
              <v:fill on="f" focussize="0,0"/>
              <v:stroke on="f"/>
              <v:imagedata o:title=""/>
              <o:lock v:ext="edit" aspectratio="f"/>
              <v:textbox inset="0mm,0mm,0mm,0mm" style="mso-fit-shape-to-text:t;">
                <w:txbxContent>
                  <w:p w14:paraId="626F29A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8160232">
      <w:pPr>
        <w:pStyle w:val="23"/>
        <w:snapToGrid w:val="0"/>
        <w:rPr>
          <w:rFonts w:hint="default" w:eastAsia="仿宋_GB2312"/>
          <w:lang w:val="en-US" w:eastAsia="zh-CN"/>
        </w:rPr>
      </w:pPr>
      <w:r>
        <w:rPr>
          <w:rStyle w:val="38"/>
        </w:rPr>
        <w:footnoteRef/>
      </w:r>
      <w:r>
        <w:t xml:space="preserve"> </w:t>
      </w:r>
      <w:r>
        <w:rPr>
          <w:rFonts w:hint="eastAsia"/>
          <w:lang w:val="en-US" w:eastAsia="zh-CN"/>
        </w:rPr>
        <w:t>reff03MMDD.txt 文件后续将予以下线。此后，本所将仅提供 reff0302YYYYMMDD.xml 文件。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F576E">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A6666">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D9F75">
    <w:pPr>
      <w:pStyle w:val="19"/>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9127D"/>
    <w:multiLevelType w:val="singleLevel"/>
    <w:tmpl w:val="C809127D"/>
    <w:lvl w:ilvl="0" w:tentative="0">
      <w:start w:val="16"/>
      <w:numFmt w:val="chineseCounting"/>
      <w:suff w:val="space"/>
      <w:lvlText w:val="第%1章"/>
      <w:lvlJc w:val="left"/>
      <w:rPr>
        <w:rFonts w:hint="eastAsia"/>
      </w:rPr>
    </w:lvl>
  </w:abstractNum>
  <w:abstractNum w:abstractNumId="1">
    <w:nsid w:val="118D102D"/>
    <w:multiLevelType w:val="multilevel"/>
    <w:tmpl w:val="118D102D"/>
    <w:lvl w:ilvl="0" w:tentative="0">
      <w:start w:val="1"/>
      <w:numFmt w:val="chineseCountingThousand"/>
      <w:lvlText w:val="第%1条"/>
      <w:lvlJc w:val="left"/>
      <w:pPr>
        <w:ind w:left="420" w:hanging="420"/>
      </w:pPr>
      <w:rPr>
        <w:rFonts w:hint="eastAsia" w:ascii="仿宋_GB2312" w:eastAsia="仿宋_GB2312" w:cs="Times New Roman"/>
        <w:b w:val="0"/>
        <w:sz w:val="30"/>
        <w:szCs w:val="30"/>
        <w:lang w:val="en-US"/>
      </w:rPr>
    </w:lvl>
    <w:lvl w:ilvl="1" w:tentative="0">
      <w:start w:val="1"/>
      <w:numFmt w:val="lowerLetter"/>
      <w:lvlText w:val="%2)"/>
      <w:lvlJc w:val="left"/>
      <w:pPr>
        <w:ind w:left="414" w:hanging="420"/>
      </w:pPr>
      <w:rPr>
        <w:rFonts w:cs="Times New Roman"/>
      </w:rPr>
    </w:lvl>
    <w:lvl w:ilvl="2" w:tentative="0">
      <w:start w:val="1"/>
      <w:numFmt w:val="lowerRoman"/>
      <w:lvlText w:val="%3."/>
      <w:lvlJc w:val="right"/>
      <w:pPr>
        <w:ind w:left="834" w:hanging="420"/>
      </w:pPr>
      <w:rPr>
        <w:rFonts w:cs="Times New Roman"/>
      </w:rPr>
    </w:lvl>
    <w:lvl w:ilvl="3" w:tentative="0">
      <w:start w:val="1"/>
      <w:numFmt w:val="decimal"/>
      <w:lvlText w:val="%4."/>
      <w:lvlJc w:val="left"/>
      <w:pPr>
        <w:ind w:left="1254" w:hanging="420"/>
      </w:pPr>
      <w:rPr>
        <w:rFonts w:cs="Times New Roman"/>
      </w:rPr>
    </w:lvl>
    <w:lvl w:ilvl="4" w:tentative="0">
      <w:start w:val="1"/>
      <w:numFmt w:val="lowerLetter"/>
      <w:lvlText w:val="%5)"/>
      <w:lvlJc w:val="left"/>
      <w:pPr>
        <w:ind w:left="1674" w:hanging="420"/>
      </w:pPr>
      <w:rPr>
        <w:rFonts w:cs="Times New Roman"/>
      </w:rPr>
    </w:lvl>
    <w:lvl w:ilvl="5" w:tentative="0">
      <w:start w:val="1"/>
      <w:numFmt w:val="lowerRoman"/>
      <w:lvlText w:val="%6."/>
      <w:lvlJc w:val="right"/>
      <w:pPr>
        <w:ind w:left="2094" w:hanging="420"/>
      </w:pPr>
      <w:rPr>
        <w:rFonts w:cs="Times New Roman"/>
      </w:rPr>
    </w:lvl>
    <w:lvl w:ilvl="6" w:tentative="0">
      <w:start w:val="1"/>
      <w:numFmt w:val="decimal"/>
      <w:lvlText w:val="%7."/>
      <w:lvlJc w:val="left"/>
      <w:pPr>
        <w:ind w:left="2514" w:hanging="420"/>
      </w:pPr>
      <w:rPr>
        <w:rFonts w:cs="Times New Roman"/>
      </w:rPr>
    </w:lvl>
    <w:lvl w:ilvl="7" w:tentative="0">
      <w:start w:val="1"/>
      <w:numFmt w:val="lowerLetter"/>
      <w:lvlText w:val="%8)"/>
      <w:lvlJc w:val="left"/>
      <w:pPr>
        <w:ind w:left="2934" w:hanging="420"/>
      </w:pPr>
      <w:rPr>
        <w:rFonts w:cs="Times New Roman"/>
      </w:rPr>
    </w:lvl>
    <w:lvl w:ilvl="8" w:tentative="0">
      <w:start w:val="1"/>
      <w:numFmt w:val="lowerRoman"/>
      <w:lvlText w:val="%9."/>
      <w:lvlJc w:val="right"/>
      <w:pPr>
        <w:ind w:left="3354" w:hanging="420"/>
      </w:pPr>
      <w:rPr>
        <w:rFonts w:cs="Times New Roman"/>
      </w:rPr>
    </w:lvl>
  </w:abstractNum>
  <w:abstractNum w:abstractNumId="2">
    <w:nsid w:val="31F71B54"/>
    <w:multiLevelType w:val="multilevel"/>
    <w:tmpl w:val="31F71B54"/>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5716F39D"/>
    <w:multiLevelType w:val="singleLevel"/>
    <w:tmpl w:val="5716F39D"/>
    <w:lvl w:ilvl="0" w:tentative="0">
      <w:start w:val="6"/>
      <w:numFmt w:val="chineseCounting"/>
      <w:suff w:val="nothing"/>
      <w:lvlText w:val="（%1）"/>
      <w:lvlJc w:val="left"/>
    </w:lvl>
  </w:abstractNum>
  <w:abstractNum w:abstractNumId="4">
    <w:nsid w:val="57205AF7"/>
    <w:multiLevelType w:val="multilevel"/>
    <w:tmpl w:val="57205AF7"/>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4"/>
    <w:lvlOverride w:ilvl="0">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217"/>
    <w:rsid w:val="00021BE0"/>
    <w:rsid w:val="000B6E4C"/>
    <w:rsid w:val="00112352"/>
    <w:rsid w:val="00173848"/>
    <w:rsid w:val="00447F8D"/>
    <w:rsid w:val="004E65AA"/>
    <w:rsid w:val="00560312"/>
    <w:rsid w:val="006D2D5A"/>
    <w:rsid w:val="00777240"/>
    <w:rsid w:val="00822270"/>
    <w:rsid w:val="008C1C3B"/>
    <w:rsid w:val="00900876"/>
    <w:rsid w:val="00990480"/>
    <w:rsid w:val="00A04AF8"/>
    <w:rsid w:val="00A96C76"/>
    <w:rsid w:val="00B95318"/>
    <w:rsid w:val="00BE0E5A"/>
    <w:rsid w:val="00C21F66"/>
    <w:rsid w:val="00D456A0"/>
    <w:rsid w:val="00D963D1"/>
    <w:rsid w:val="00ED226A"/>
    <w:rsid w:val="00F206BE"/>
    <w:rsid w:val="00FC3217"/>
    <w:rsid w:val="00FD50FA"/>
    <w:rsid w:val="03D97050"/>
    <w:rsid w:val="0695341C"/>
    <w:rsid w:val="084C7436"/>
    <w:rsid w:val="0B537169"/>
    <w:rsid w:val="0DCA02C5"/>
    <w:rsid w:val="0E2A4067"/>
    <w:rsid w:val="0F49640C"/>
    <w:rsid w:val="11F8281B"/>
    <w:rsid w:val="11FA7F03"/>
    <w:rsid w:val="17647F07"/>
    <w:rsid w:val="192E1718"/>
    <w:rsid w:val="1BCA6B98"/>
    <w:rsid w:val="1FFC72E5"/>
    <w:rsid w:val="21BE2C59"/>
    <w:rsid w:val="22745AB0"/>
    <w:rsid w:val="23D30CB9"/>
    <w:rsid w:val="23DF7C89"/>
    <w:rsid w:val="261B7D46"/>
    <w:rsid w:val="28F315FF"/>
    <w:rsid w:val="28FB99D3"/>
    <w:rsid w:val="2FFB8226"/>
    <w:rsid w:val="30CA4E94"/>
    <w:rsid w:val="31090CB9"/>
    <w:rsid w:val="320478CC"/>
    <w:rsid w:val="32253CE1"/>
    <w:rsid w:val="325B52E3"/>
    <w:rsid w:val="32F437DD"/>
    <w:rsid w:val="352381E5"/>
    <w:rsid w:val="36DE4451"/>
    <w:rsid w:val="37F4D9E6"/>
    <w:rsid w:val="3AC57124"/>
    <w:rsid w:val="3F005EEE"/>
    <w:rsid w:val="3F27E909"/>
    <w:rsid w:val="3FEF3F5F"/>
    <w:rsid w:val="42B960EA"/>
    <w:rsid w:val="436FABA0"/>
    <w:rsid w:val="46405460"/>
    <w:rsid w:val="49893D7A"/>
    <w:rsid w:val="4ADA20A4"/>
    <w:rsid w:val="4D7A7B6F"/>
    <w:rsid w:val="4DD93F21"/>
    <w:rsid w:val="4EBFB17F"/>
    <w:rsid w:val="55562C6F"/>
    <w:rsid w:val="5B9FB5BB"/>
    <w:rsid w:val="5BFD2A33"/>
    <w:rsid w:val="5EAA7B88"/>
    <w:rsid w:val="5EB4094D"/>
    <w:rsid w:val="5EBDC5DB"/>
    <w:rsid w:val="5EBF23EB"/>
    <w:rsid w:val="5EE7D3F5"/>
    <w:rsid w:val="5F4A6FCC"/>
    <w:rsid w:val="5F97CC5C"/>
    <w:rsid w:val="5FB3FFA8"/>
    <w:rsid w:val="5FECEDDE"/>
    <w:rsid w:val="646E002E"/>
    <w:rsid w:val="666D1BC7"/>
    <w:rsid w:val="66DD2D43"/>
    <w:rsid w:val="67A162AC"/>
    <w:rsid w:val="6ACDD68F"/>
    <w:rsid w:val="6DD36AB2"/>
    <w:rsid w:val="6DF9F1BB"/>
    <w:rsid w:val="6E554CD4"/>
    <w:rsid w:val="6ED722D3"/>
    <w:rsid w:val="6F694683"/>
    <w:rsid w:val="6F7149C6"/>
    <w:rsid w:val="6F957F55"/>
    <w:rsid w:val="70553DF8"/>
    <w:rsid w:val="71F7148A"/>
    <w:rsid w:val="72F56908"/>
    <w:rsid w:val="765FB70B"/>
    <w:rsid w:val="77DE46D3"/>
    <w:rsid w:val="77EF0009"/>
    <w:rsid w:val="77F4039A"/>
    <w:rsid w:val="77FE7B92"/>
    <w:rsid w:val="78212811"/>
    <w:rsid w:val="788A2D12"/>
    <w:rsid w:val="7D533AD5"/>
    <w:rsid w:val="7D9B9228"/>
    <w:rsid w:val="7E9E9941"/>
    <w:rsid w:val="7EBF1550"/>
    <w:rsid w:val="7EFCD7C2"/>
    <w:rsid w:val="7EFE2302"/>
    <w:rsid w:val="7FC39C59"/>
    <w:rsid w:val="7FCAAEDE"/>
    <w:rsid w:val="7FE7073A"/>
    <w:rsid w:val="7FF34733"/>
    <w:rsid w:val="7FF3C6B1"/>
    <w:rsid w:val="7FFE42A2"/>
    <w:rsid w:val="7FFF27BF"/>
    <w:rsid w:val="8FF76666"/>
    <w:rsid w:val="9E3C589C"/>
    <w:rsid w:val="9EE5C36F"/>
    <w:rsid w:val="9EFFD77B"/>
    <w:rsid w:val="9FB2F60D"/>
    <w:rsid w:val="B2EF00C7"/>
    <w:rsid w:val="B7EB714D"/>
    <w:rsid w:val="BB3772E0"/>
    <w:rsid w:val="BBAD448D"/>
    <w:rsid w:val="BEE31358"/>
    <w:rsid w:val="CC7FE075"/>
    <w:rsid w:val="CD8C70C8"/>
    <w:rsid w:val="CFBEF70C"/>
    <w:rsid w:val="CFEAC821"/>
    <w:rsid w:val="D1DC2D9B"/>
    <w:rsid w:val="D5CB283C"/>
    <w:rsid w:val="DDFE6839"/>
    <w:rsid w:val="DEF7A1E3"/>
    <w:rsid w:val="E7FF50D3"/>
    <w:rsid w:val="EB8AC6E2"/>
    <w:rsid w:val="ED3748C9"/>
    <w:rsid w:val="EDCB3AF2"/>
    <w:rsid w:val="EFDF87DE"/>
    <w:rsid w:val="EFEF7CC7"/>
    <w:rsid w:val="EFF7B18A"/>
    <w:rsid w:val="F6742108"/>
    <w:rsid w:val="F6F3466B"/>
    <w:rsid w:val="F7154B21"/>
    <w:rsid w:val="F75F0994"/>
    <w:rsid w:val="F7FBB5FF"/>
    <w:rsid w:val="FBDF77E2"/>
    <w:rsid w:val="FCBFAF97"/>
    <w:rsid w:val="FDCFE1E2"/>
    <w:rsid w:val="FDFF63D6"/>
    <w:rsid w:val="FEFB5B67"/>
    <w:rsid w:val="FF1F9562"/>
    <w:rsid w:val="FFF78A39"/>
    <w:rsid w:val="FFF99FA6"/>
    <w:rsid w:val="FFFDFD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5"/>
    <w:next w:val="1"/>
    <w:link w:val="55"/>
    <w:qFormat/>
    <w:uiPriority w:val="9"/>
    <w:pPr>
      <w:keepNext/>
      <w:keepLines/>
      <w:spacing w:before="340" w:after="330" w:line="578" w:lineRule="auto"/>
      <w:jc w:val="center"/>
      <w:outlineLvl w:val="0"/>
    </w:pPr>
    <w:rPr>
      <w:rFonts w:eastAsia="仿宋_GB2312"/>
      <w:kern w:val="44"/>
      <w:sz w:val="30"/>
      <w:szCs w:val="44"/>
    </w:rPr>
  </w:style>
  <w:style w:type="paragraph" w:styleId="5">
    <w:name w:val="heading 2"/>
    <w:basedOn w:val="1"/>
    <w:next w:val="1"/>
    <w:link w:val="42"/>
    <w:qFormat/>
    <w:uiPriority w:val="9"/>
    <w:pPr>
      <w:keepNext/>
      <w:keepLines/>
      <w:spacing w:before="260" w:after="260"/>
      <w:ind w:firstLine="200" w:firstLineChars="200"/>
      <w:jc w:val="left"/>
      <w:outlineLvl w:val="1"/>
    </w:pPr>
    <w:rPr>
      <w:rFonts w:ascii="Cambria" w:hAnsi="Cambria" w:eastAsia="仿宋_GB2312"/>
      <w:b/>
      <w:bCs/>
      <w:sz w:val="28"/>
      <w:szCs w:val="32"/>
    </w:rPr>
  </w:style>
  <w:style w:type="paragraph" w:styleId="6">
    <w:name w:val="heading 3"/>
    <w:basedOn w:val="1"/>
    <w:next w:val="1"/>
    <w:link w:val="43"/>
    <w:qFormat/>
    <w:uiPriority w:val="9"/>
    <w:pPr>
      <w:keepNext/>
      <w:keepLines/>
      <w:spacing w:before="260" w:after="260" w:line="416" w:lineRule="auto"/>
      <w:outlineLvl w:val="2"/>
    </w:pPr>
    <w:rPr>
      <w:b/>
      <w:bCs/>
      <w:sz w:val="32"/>
      <w:szCs w:val="32"/>
    </w:rPr>
  </w:style>
  <w:style w:type="paragraph" w:styleId="7">
    <w:name w:val="heading 4"/>
    <w:basedOn w:val="1"/>
    <w:next w:val="1"/>
    <w:link w:val="44"/>
    <w:qFormat/>
    <w:uiPriority w:val="9"/>
    <w:pPr>
      <w:keepNext/>
      <w:keepLines/>
      <w:spacing w:before="280" w:after="290" w:line="376" w:lineRule="auto"/>
      <w:outlineLvl w:val="3"/>
    </w:pPr>
    <w:rPr>
      <w:rFonts w:ascii="Cambria" w:hAnsi="Cambria"/>
      <w:b/>
      <w:bCs/>
      <w:sz w:val="28"/>
      <w:szCs w:val="28"/>
    </w:rPr>
  </w:style>
  <w:style w:type="paragraph" w:styleId="8">
    <w:name w:val="heading 5"/>
    <w:basedOn w:val="1"/>
    <w:next w:val="1"/>
    <w:link w:val="45"/>
    <w:qFormat/>
    <w:uiPriority w:val="9"/>
    <w:pPr>
      <w:keepNext/>
      <w:keepLines/>
      <w:spacing w:before="280" w:after="290" w:line="376" w:lineRule="auto"/>
      <w:outlineLvl w:val="4"/>
    </w:pPr>
    <w:rPr>
      <w:b/>
      <w:bCs/>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rPr>
      <w:sz w:val="28"/>
    </w:rPr>
  </w:style>
  <w:style w:type="paragraph" w:styleId="9">
    <w:name w:val="toc 7"/>
    <w:basedOn w:val="1"/>
    <w:next w:val="1"/>
    <w:unhideWhenUsed/>
    <w:qFormat/>
    <w:uiPriority w:val="39"/>
    <w:pPr>
      <w:ind w:left="2520" w:leftChars="1200"/>
    </w:pPr>
  </w:style>
  <w:style w:type="paragraph" w:styleId="10">
    <w:name w:val="Normal Indent"/>
    <w:basedOn w:val="1"/>
    <w:unhideWhenUsed/>
    <w:qFormat/>
    <w:uiPriority w:val="99"/>
    <w:pPr>
      <w:adjustRightInd w:val="0"/>
      <w:snapToGrid w:val="0"/>
      <w:spacing w:beforeLines="50" w:afterLines="50" w:line="288" w:lineRule="auto"/>
      <w:ind w:firstLine="200" w:firstLineChars="200"/>
    </w:pPr>
    <w:rPr>
      <w:rFonts w:ascii="Times New Roman" w:hAnsi="Times New Roman" w:eastAsia="楷体_GB2312"/>
      <w:sz w:val="24"/>
      <w:szCs w:val="24"/>
    </w:rPr>
  </w:style>
  <w:style w:type="paragraph" w:styleId="11">
    <w:name w:val="Document Map"/>
    <w:basedOn w:val="1"/>
    <w:link w:val="59"/>
    <w:unhideWhenUsed/>
    <w:qFormat/>
    <w:uiPriority w:val="99"/>
    <w:rPr>
      <w:rFonts w:ascii="宋体" w:hAnsiTheme="minorHAnsi" w:eastAsiaTheme="minorEastAsia" w:cstheme="minorBidi"/>
      <w:sz w:val="18"/>
      <w:szCs w:val="18"/>
    </w:rPr>
  </w:style>
  <w:style w:type="paragraph" w:styleId="12">
    <w:name w:val="annotation text"/>
    <w:basedOn w:val="1"/>
    <w:link w:val="57"/>
    <w:unhideWhenUsed/>
    <w:qFormat/>
    <w:uiPriority w:val="0"/>
    <w:pPr>
      <w:jc w:val="left"/>
    </w:pPr>
  </w:style>
  <w:style w:type="paragraph" w:styleId="13">
    <w:name w:val="toc 5"/>
    <w:basedOn w:val="1"/>
    <w:next w:val="1"/>
    <w:unhideWhenUsed/>
    <w:qFormat/>
    <w:uiPriority w:val="39"/>
    <w:pPr>
      <w:ind w:left="1680" w:leftChars="800"/>
    </w:pPr>
  </w:style>
  <w:style w:type="paragraph" w:styleId="14">
    <w:name w:val="toc 3"/>
    <w:basedOn w:val="1"/>
    <w:next w:val="1"/>
    <w:unhideWhenUsed/>
    <w:qFormat/>
    <w:uiPriority w:val="39"/>
    <w:pPr>
      <w:ind w:left="840" w:leftChars="400"/>
    </w:pPr>
  </w:style>
  <w:style w:type="paragraph" w:styleId="15">
    <w:name w:val="toc 8"/>
    <w:basedOn w:val="1"/>
    <w:next w:val="1"/>
    <w:unhideWhenUsed/>
    <w:qFormat/>
    <w:uiPriority w:val="39"/>
    <w:pPr>
      <w:ind w:left="2940" w:leftChars="1400"/>
    </w:pPr>
  </w:style>
  <w:style w:type="paragraph" w:styleId="16">
    <w:name w:val="Body Text Indent 2"/>
    <w:basedOn w:val="1"/>
    <w:qFormat/>
    <w:uiPriority w:val="0"/>
    <w:pPr>
      <w:spacing w:after="120" w:line="480" w:lineRule="auto"/>
      <w:ind w:left="420" w:leftChars="200"/>
    </w:pPr>
    <w:rPr>
      <w:rFonts w:ascii="宋体" w:hAnsi="宋体"/>
      <w:bCs/>
      <w:szCs w:val="21"/>
    </w:rPr>
  </w:style>
  <w:style w:type="paragraph" w:styleId="17">
    <w:name w:val="Balloon Text"/>
    <w:basedOn w:val="1"/>
    <w:link w:val="61"/>
    <w:unhideWhenUsed/>
    <w:qFormat/>
    <w:uiPriority w:val="99"/>
    <w:rPr>
      <w:rFonts w:asciiTheme="minorHAnsi" w:hAnsiTheme="minorHAnsi" w:eastAsiaTheme="minorEastAsia" w:cstheme="minorBidi"/>
      <w:sz w:val="18"/>
      <w:szCs w:val="18"/>
    </w:rPr>
  </w:style>
  <w:style w:type="paragraph" w:styleId="18">
    <w:name w:val="footer"/>
    <w:basedOn w:val="1"/>
    <w:link w:val="40"/>
    <w:unhideWhenUsed/>
    <w:qFormat/>
    <w:uiPriority w:val="99"/>
    <w:pPr>
      <w:tabs>
        <w:tab w:val="center" w:pos="4153"/>
        <w:tab w:val="right" w:pos="8306"/>
      </w:tabs>
      <w:snapToGrid w:val="0"/>
      <w:jc w:val="left"/>
    </w:pPr>
    <w:rPr>
      <w:sz w:val="18"/>
      <w:szCs w:val="18"/>
    </w:rPr>
  </w:style>
  <w:style w:type="paragraph" w:styleId="19">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style>
  <w:style w:type="paragraph" w:styleId="21">
    <w:name w:val="toc 4"/>
    <w:basedOn w:val="1"/>
    <w:next w:val="1"/>
    <w:unhideWhenUsed/>
    <w:qFormat/>
    <w:uiPriority w:val="39"/>
    <w:pPr>
      <w:ind w:left="1260" w:leftChars="600"/>
    </w:pPr>
  </w:style>
  <w:style w:type="paragraph" w:styleId="22">
    <w:name w:val="Subtitle"/>
    <w:basedOn w:val="1"/>
    <w:next w:val="1"/>
    <w:link w:val="66"/>
    <w:qFormat/>
    <w:uiPriority w:val="11"/>
    <w:pPr>
      <w:spacing w:before="240" w:after="60"/>
      <w:ind w:firstLine="200" w:firstLineChars="200"/>
      <w:jc w:val="left"/>
      <w:outlineLvl w:val="1"/>
    </w:pPr>
    <w:rPr>
      <w:rFonts w:ascii="Cambria" w:hAnsi="Cambria" w:eastAsia="仿宋_GB2312" w:cstheme="minorBidi"/>
      <w:bCs/>
      <w:kern w:val="28"/>
      <w:sz w:val="28"/>
      <w:szCs w:val="32"/>
    </w:rPr>
  </w:style>
  <w:style w:type="paragraph" w:styleId="23">
    <w:name w:val="footnote text"/>
    <w:basedOn w:val="1"/>
    <w:link w:val="62"/>
    <w:unhideWhenUsed/>
    <w:qFormat/>
    <w:uiPriority w:val="99"/>
    <w:pPr>
      <w:snapToGrid w:val="0"/>
      <w:jc w:val="left"/>
    </w:pPr>
    <w:rPr>
      <w:rFonts w:asciiTheme="minorHAnsi" w:hAnsiTheme="minorHAnsi" w:eastAsiaTheme="minorEastAsia" w:cstheme="minorBidi"/>
      <w:sz w:val="18"/>
      <w:szCs w:val="18"/>
    </w:rPr>
  </w:style>
  <w:style w:type="paragraph" w:styleId="24">
    <w:name w:val="toc 6"/>
    <w:basedOn w:val="1"/>
    <w:next w:val="1"/>
    <w:unhideWhenUsed/>
    <w:qFormat/>
    <w:uiPriority w:val="39"/>
    <w:pPr>
      <w:ind w:left="2100" w:leftChars="1000"/>
    </w:pPr>
  </w:style>
  <w:style w:type="paragraph" w:styleId="25">
    <w:name w:val="toc 2"/>
    <w:basedOn w:val="1"/>
    <w:next w:val="1"/>
    <w:unhideWhenUsed/>
    <w:qFormat/>
    <w:uiPriority w:val="39"/>
    <w:pPr>
      <w:ind w:left="420" w:leftChars="200"/>
    </w:pPr>
  </w:style>
  <w:style w:type="paragraph" w:styleId="26">
    <w:name w:val="toc 9"/>
    <w:basedOn w:val="1"/>
    <w:next w:val="1"/>
    <w:unhideWhenUsed/>
    <w:qFormat/>
    <w:uiPriority w:val="39"/>
    <w:pPr>
      <w:ind w:left="3360" w:leftChars="1600"/>
    </w:pPr>
  </w:style>
  <w:style w:type="paragraph" w:styleId="2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8">
    <w:name w:val="Normal (Web)"/>
    <w:basedOn w:val="1"/>
    <w:unhideWhenUsed/>
    <w:qFormat/>
    <w:uiPriority w:val="99"/>
    <w:rPr>
      <w:rFonts w:ascii="Times New Roman" w:hAnsi="Times New Roman"/>
      <w:sz w:val="24"/>
      <w:szCs w:val="20"/>
    </w:rPr>
  </w:style>
  <w:style w:type="paragraph" w:styleId="29">
    <w:name w:val="Title"/>
    <w:basedOn w:val="1"/>
    <w:next w:val="1"/>
    <w:link w:val="67"/>
    <w:qFormat/>
    <w:uiPriority w:val="10"/>
    <w:pPr>
      <w:spacing w:before="240" w:after="60"/>
      <w:ind w:left="100" w:leftChars="100" w:right="100" w:rightChars="100" w:firstLine="200" w:firstLineChars="200"/>
      <w:jc w:val="center"/>
      <w:outlineLvl w:val="0"/>
    </w:pPr>
    <w:rPr>
      <w:rFonts w:ascii="Cambria" w:hAnsi="Cambria" w:eastAsia="仿宋_GB2312" w:cstheme="minorBidi"/>
      <w:b/>
      <w:bCs/>
      <w:sz w:val="30"/>
      <w:szCs w:val="32"/>
    </w:rPr>
  </w:style>
  <w:style w:type="paragraph" w:styleId="30">
    <w:name w:val="annotation subject"/>
    <w:basedOn w:val="12"/>
    <w:next w:val="12"/>
    <w:link w:val="58"/>
    <w:unhideWhenUsed/>
    <w:qFormat/>
    <w:uiPriority w:val="99"/>
    <w:rPr>
      <w:rFonts w:asciiTheme="minorHAnsi" w:hAnsiTheme="minorHAnsi" w:eastAsiaTheme="minorEastAsia" w:cstheme="minorBidi"/>
      <w:b/>
      <w:bCs/>
    </w:rPr>
  </w:style>
  <w:style w:type="table" w:styleId="32">
    <w:name w:val="Table Grid"/>
    <w:basedOn w:val="31"/>
    <w:qFormat/>
    <w:uiPriority w:val="5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unhideWhenUsed/>
    <w:qFormat/>
    <w:uiPriority w:val="99"/>
    <w:rPr>
      <w:color w:val="800080"/>
      <w:u w:val="single"/>
    </w:rPr>
  </w:style>
  <w:style w:type="character" w:styleId="36">
    <w:name w:val="Hyperlink"/>
    <w:basedOn w:val="33"/>
    <w:unhideWhenUsed/>
    <w:qFormat/>
    <w:uiPriority w:val="99"/>
    <w:rPr>
      <w:color w:val="337AB7"/>
      <w:u w:val="none"/>
    </w:rPr>
  </w:style>
  <w:style w:type="character" w:styleId="37">
    <w:name w:val="annotation reference"/>
    <w:basedOn w:val="33"/>
    <w:unhideWhenUsed/>
    <w:qFormat/>
    <w:uiPriority w:val="0"/>
    <w:rPr>
      <w:sz w:val="21"/>
      <w:szCs w:val="21"/>
    </w:rPr>
  </w:style>
  <w:style w:type="character" w:styleId="38">
    <w:name w:val="footnote reference"/>
    <w:basedOn w:val="33"/>
    <w:unhideWhenUsed/>
    <w:qFormat/>
    <w:uiPriority w:val="99"/>
    <w:rPr>
      <w:vertAlign w:val="superscript"/>
    </w:rPr>
  </w:style>
  <w:style w:type="character" w:customStyle="1" w:styleId="39">
    <w:name w:val="页眉 Char"/>
    <w:basedOn w:val="33"/>
    <w:link w:val="19"/>
    <w:qFormat/>
    <w:uiPriority w:val="99"/>
    <w:rPr>
      <w:sz w:val="18"/>
      <w:szCs w:val="18"/>
    </w:rPr>
  </w:style>
  <w:style w:type="character" w:customStyle="1" w:styleId="40">
    <w:name w:val="页脚 Char"/>
    <w:basedOn w:val="33"/>
    <w:link w:val="18"/>
    <w:qFormat/>
    <w:uiPriority w:val="99"/>
    <w:rPr>
      <w:sz w:val="18"/>
      <w:szCs w:val="18"/>
    </w:rPr>
  </w:style>
  <w:style w:type="character" w:customStyle="1" w:styleId="41">
    <w:name w:val="标题 1 Char"/>
    <w:basedOn w:val="33"/>
    <w:link w:val="4"/>
    <w:qFormat/>
    <w:uiPriority w:val="9"/>
    <w:rPr>
      <w:rFonts w:ascii="Calibri" w:hAnsi="Calibri" w:eastAsia="宋体" w:cs="Times New Roman"/>
      <w:b/>
      <w:bCs/>
      <w:kern w:val="44"/>
      <w:sz w:val="44"/>
      <w:szCs w:val="44"/>
    </w:rPr>
  </w:style>
  <w:style w:type="character" w:customStyle="1" w:styleId="42">
    <w:name w:val="标题 2 Char"/>
    <w:basedOn w:val="33"/>
    <w:link w:val="5"/>
    <w:qFormat/>
    <w:uiPriority w:val="9"/>
    <w:rPr>
      <w:rFonts w:ascii="Cambria" w:hAnsi="Cambria" w:eastAsia="仿宋_GB2312" w:cs="Times New Roman"/>
      <w:b/>
      <w:bCs/>
      <w:sz w:val="28"/>
      <w:szCs w:val="32"/>
    </w:rPr>
  </w:style>
  <w:style w:type="character" w:customStyle="1" w:styleId="43">
    <w:name w:val="标题 3 Char"/>
    <w:basedOn w:val="33"/>
    <w:link w:val="6"/>
    <w:qFormat/>
    <w:uiPriority w:val="9"/>
    <w:rPr>
      <w:rFonts w:ascii="Calibri" w:hAnsi="Calibri" w:eastAsia="宋体" w:cs="Times New Roman"/>
      <w:b/>
      <w:bCs/>
      <w:sz w:val="32"/>
      <w:szCs w:val="32"/>
    </w:rPr>
  </w:style>
  <w:style w:type="character" w:customStyle="1" w:styleId="44">
    <w:name w:val="标题 4 Char"/>
    <w:basedOn w:val="33"/>
    <w:link w:val="7"/>
    <w:qFormat/>
    <w:uiPriority w:val="9"/>
    <w:rPr>
      <w:rFonts w:ascii="Cambria" w:hAnsi="Cambria" w:eastAsia="宋体" w:cs="Times New Roman"/>
      <w:b/>
      <w:bCs/>
      <w:sz w:val="28"/>
      <w:szCs w:val="28"/>
    </w:rPr>
  </w:style>
  <w:style w:type="character" w:customStyle="1" w:styleId="45">
    <w:name w:val="标题 5 Char"/>
    <w:basedOn w:val="33"/>
    <w:link w:val="8"/>
    <w:qFormat/>
    <w:uiPriority w:val="9"/>
    <w:rPr>
      <w:rFonts w:ascii="Calibri" w:hAnsi="Calibri" w:eastAsia="宋体" w:cs="Times New Roman"/>
      <w:b/>
      <w:bCs/>
      <w:sz w:val="28"/>
      <w:szCs w:val="28"/>
    </w:rPr>
  </w:style>
  <w:style w:type="character" w:customStyle="1" w:styleId="46">
    <w:name w:val="副标题 Char"/>
    <w:basedOn w:val="33"/>
    <w:link w:val="22"/>
    <w:qFormat/>
    <w:uiPriority w:val="11"/>
    <w:rPr>
      <w:rFonts w:ascii="Cambria" w:hAnsi="Cambria" w:eastAsia="仿宋_GB2312"/>
      <w:bCs/>
      <w:kern w:val="28"/>
      <w:sz w:val="28"/>
      <w:szCs w:val="32"/>
    </w:rPr>
  </w:style>
  <w:style w:type="character" w:customStyle="1" w:styleId="47">
    <w:name w:val="批注文字 Char1"/>
    <w:basedOn w:val="33"/>
    <w:qFormat/>
    <w:uiPriority w:val="0"/>
    <w:rPr>
      <w:kern w:val="2"/>
      <w:sz w:val="21"/>
      <w:szCs w:val="22"/>
    </w:rPr>
  </w:style>
  <w:style w:type="character" w:customStyle="1" w:styleId="48">
    <w:name w:val="批注文字 Char"/>
    <w:basedOn w:val="33"/>
    <w:qFormat/>
    <w:uiPriority w:val="0"/>
  </w:style>
  <w:style w:type="character" w:customStyle="1" w:styleId="49">
    <w:name w:val="列出段落 Char"/>
    <w:basedOn w:val="33"/>
    <w:link w:val="50"/>
    <w:qFormat/>
    <w:uiPriority w:val="0"/>
    <w:rPr>
      <w:rFonts w:ascii="Calibri" w:hAnsi="Calibri" w:eastAsia="宋体" w:cs="Times New Roman"/>
      <w:kern w:val="0"/>
      <w:sz w:val="20"/>
      <w:szCs w:val="20"/>
    </w:rPr>
  </w:style>
  <w:style w:type="paragraph" w:customStyle="1" w:styleId="50">
    <w:name w:val="列出段落2"/>
    <w:basedOn w:val="1"/>
    <w:link w:val="49"/>
    <w:qFormat/>
    <w:uiPriority w:val="0"/>
    <w:pPr>
      <w:ind w:firstLine="420" w:firstLineChars="200"/>
    </w:pPr>
    <w:rPr>
      <w:kern w:val="0"/>
      <w:sz w:val="20"/>
      <w:szCs w:val="20"/>
    </w:rPr>
  </w:style>
  <w:style w:type="character" w:customStyle="1" w:styleId="51">
    <w:name w:val="批注主题 Char"/>
    <w:basedOn w:val="48"/>
    <w:link w:val="30"/>
    <w:qFormat/>
    <w:uiPriority w:val="99"/>
    <w:rPr>
      <w:b/>
      <w:bCs/>
    </w:rPr>
  </w:style>
  <w:style w:type="character" w:customStyle="1" w:styleId="52">
    <w:name w:val="脚注文本 Char"/>
    <w:basedOn w:val="33"/>
    <w:link w:val="23"/>
    <w:qFormat/>
    <w:uiPriority w:val="99"/>
    <w:rPr>
      <w:sz w:val="18"/>
      <w:szCs w:val="18"/>
    </w:rPr>
  </w:style>
  <w:style w:type="character" w:customStyle="1" w:styleId="53">
    <w:name w:val="标题 Char"/>
    <w:basedOn w:val="33"/>
    <w:link w:val="29"/>
    <w:qFormat/>
    <w:uiPriority w:val="10"/>
    <w:rPr>
      <w:rFonts w:ascii="Cambria" w:hAnsi="Cambria" w:eastAsia="仿宋_GB2312"/>
      <w:b/>
      <w:bCs/>
      <w:sz w:val="30"/>
      <w:szCs w:val="32"/>
    </w:rPr>
  </w:style>
  <w:style w:type="character" w:customStyle="1" w:styleId="54">
    <w:name w:val="文档结构图 Char"/>
    <w:basedOn w:val="33"/>
    <w:link w:val="11"/>
    <w:qFormat/>
    <w:uiPriority w:val="99"/>
    <w:rPr>
      <w:rFonts w:ascii="宋体"/>
      <w:sz w:val="18"/>
      <w:szCs w:val="18"/>
    </w:rPr>
  </w:style>
  <w:style w:type="character" w:customStyle="1" w:styleId="55">
    <w:name w:val="标题 1 Char1"/>
    <w:basedOn w:val="33"/>
    <w:link w:val="4"/>
    <w:qFormat/>
    <w:uiPriority w:val="9"/>
    <w:rPr>
      <w:rFonts w:ascii="Calibri" w:hAnsi="Calibri" w:eastAsia="仿宋_GB2312" w:cs="Times New Roman"/>
      <w:b/>
      <w:bCs/>
      <w:kern w:val="44"/>
      <w:sz w:val="30"/>
      <w:szCs w:val="44"/>
    </w:rPr>
  </w:style>
  <w:style w:type="character" w:customStyle="1" w:styleId="56">
    <w:name w:val="批注框文本 Char"/>
    <w:basedOn w:val="33"/>
    <w:link w:val="17"/>
    <w:qFormat/>
    <w:uiPriority w:val="99"/>
    <w:rPr>
      <w:sz w:val="18"/>
      <w:szCs w:val="18"/>
    </w:rPr>
  </w:style>
  <w:style w:type="character" w:customStyle="1" w:styleId="57">
    <w:name w:val="批注文字 Char2"/>
    <w:basedOn w:val="33"/>
    <w:link w:val="12"/>
    <w:qFormat/>
    <w:uiPriority w:val="0"/>
    <w:rPr>
      <w:rFonts w:ascii="Calibri" w:hAnsi="Calibri" w:eastAsia="宋体" w:cs="Times New Roman"/>
    </w:rPr>
  </w:style>
  <w:style w:type="character" w:customStyle="1" w:styleId="58">
    <w:name w:val="批注主题 Char1"/>
    <w:basedOn w:val="57"/>
    <w:link w:val="30"/>
    <w:semiHidden/>
    <w:qFormat/>
    <w:uiPriority w:val="99"/>
    <w:rPr>
      <w:b/>
      <w:bCs/>
    </w:rPr>
  </w:style>
  <w:style w:type="character" w:customStyle="1" w:styleId="59">
    <w:name w:val="文档结构图 Char1"/>
    <w:basedOn w:val="33"/>
    <w:link w:val="11"/>
    <w:semiHidden/>
    <w:qFormat/>
    <w:uiPriority w:val="99"/>
    <w:rPr>
      <w:rFonts w:ascii="宋体" w:hAnsi="Calibri" w:eastAsia="宋体" w:cs="Times New Roman"/>
      <w:sz w:val="18"/>
      <w:szCs w:val="18"/>
    </w:rPr>
  </w:style>
  <w:style w:type="character" w:customStyle="1" w:styleId="60">
    <w:name w:val="页眉 Char1"/>
    <w:basedOn w:val="33"/>
    <w:semiHidden/>
    <w:qFormat/>
    <w:uiPriority w:val="99"/>
    <w:rPr>
      <w:kern w:val="2"/>
      <w:sz w:val="18"/>
      <w:szCs w:val="18"/>
    </w:rPr>
  </w:style>
  <w:style w:type="character" w:customStyle="1" w:styleId="61">
    <w:name w:val="批注框文本 Char1"/>
    <w:basedOn w:val="33"/>
    <w:link w:val="17"/>
    <w:semiHidden/>
    <w:qFormat/>
    <w:uiPriority w:val="99"/>
    <w:rPr>
      <w:rFonts w:ascii="Calibri" w:hAnsi="Calibri" w:eastAsia="宋体" w:cs="Times New Roman"/>
      <w:sz w:val="18"/>
      <w:szCs w:val="18"/>
    </w:rPr>
  </w:style>
  <w:style w:type="character" w:customStyle="1" w:styleId="62">
    <w:name w:val="脚注文本 Char1"/>
    <w:basedOn w:val="33"/>
    <w:link w:val="23"/>
    <w:semiHidden/>
    <w:qFormat/>
    <w:uiPriority w:val="99"/>
    <w:rPr>
      <w:rFonts w:ascii="Calibri" w:hAnsi="Calibri" w:eastAsia="宋体" w:cs="Times New Roman"/>
      <w:sz w:val="18"/>
      <w:szCs w:val="18"/>
    </w:rPr>
  </w:style>
  <w:style w:type="character" w:customStyle="1" w:styleId="63">
    <w:name w:val="页脚 Char1"/>
    <w:basedOn w:val="33"/>
    <w:semiHidden/>
    <w:qFormat/>
    <w:uiPriority w:val="99"/>
    <w:rPr>
      <w:kern w:val="2"/>
      <w:sz w:val="18"/>
      <w:szCs w:val="18"/>
    </w:rPr>
  </w:style>
  <w:style w:type="paragraph" w:customStyle="1" w:styleId="64">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65">
    <w:name w:val="TOC Heading"/>
    <w:basedOn w:val="4"/>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character" w:customStyle="1" w:styleId="66">
    <w:name w:val="副标题 Char1"/>
    <w:basedOn w:val="33"/>
    <w:link w:val="22"/>
    <w:qFormat/>
    <w:uiPriority w:val="11"/>
    <w:rPr>
      <w:rFonts w:eastAsia="宋体" w:asciiTheme="majorHAnsi" w:hAnsiTheme="majorHAnsi" w:cstheme="majorBidi"/>
      <w:b/>
      <w:bCs/>
      <w:kern w:val="28"/>
      <w:sz w:val="32"/>
      <w:szCs w:val="32"/>
    </w:rPr>
  </w:style>
  <w:style w:type="character" w:customStyle="1" w:styleId="67">
    <w:name w:val="标题 Char1"/>
    <w:basedOn w:val="33"/>
    <w:link w:val="29"/>
    <w:qFormat/>
    <w:uiPriority w:val="10"/>
    <w:rPr>
      <w:rFonts w:eastAsia="宋体" w:asciiTheme="majorHAnsi" w:hAnsiTheme="majorHAnsi" w:cstheme="majorBidi"/>
      <w:b/>
      <w:bCs/>
      <w:sz w:val="32"/>
      <w:szCs w:val="32"/>
    </w:rPr>
  </w:style>
  <w:style w:type="paragraph" w:customStyle="1" w:styleId="68">
    <w:name w:val="列出段落1"/>
    <w:basedOn w:val="1"/>
    <w:qFormat/>
    <w:uiPriority w:val="0"/>
    <w:pPr>
      <w:ind w:firstLine="200" w:firstLineChars="200"/>
    </w:pPr>
  </w:style>
  <w:style w:type="paragraph" w:styleId="69">
    <w:name w:val="List Paragraph"/>
    <w:basedOn w:val="1"/>
    <w:qFormat/>
    <w:uiPriority w:val="34"/>
    <w:pPr>
      <w:ind w:firstLine="420" w:firstLineChars="200"/>
    </w:pPr>
  </w:style>
  <w:style w:type="paragraph" w:customStyle="1" w:styleId="70">
    <w:name w:val="_Style 4"/>
    <w:basedOn w:val="1"/>
    <w:qFormat/>
    <w:uiPriority w:val="34"/>
    <w:pPr>
      <w:ind w:firstLine="420" w:firstLineChars="200"/>
    </w:pPr>
  </w:style>
  <w:style w:type="paragraph" w:customStyle="1" w:styleId="71">
    <w:name w:val="Revision"/>
    <w:semiHidden/>
    <w:qFormat/>
    <w:uiPriority w:val="99"/>
    <w:rPr>
      <w:rFonts w:ascii="Calibri" w:hAnsi="Calibri" w:eastAsia="宋体" w:cs="Times New Roman"/>
      <w:kern w:val="2"/>
      <w:sz w:val="21"/>
      <w:szCs w:val="22"/>
      <w:lang w:val="en-US" w:eastAsia="zh-CN" w:bidi="ar-SA"/>
    </w:rPr>
  </w:style>
  <w:style w:type="paragraph" w:customStyle="1" w:styleId="72">
    <w:name w:val="_Style 3"/>
    <w:basedOn w:val="1"/>
    <w:qFormat/>
    <w:uiPriority w:val="0"/>
    <w:pPr>
      <w:ind w:firstLine="420" w:firstLineChars="200"/>
    </w:pPr>
    <w:rPr>
      <w:rFonts w:ascii="Times New Roman" w:hAnsi="Times New Roman"/>
    </w:rPr>
  </w:style>
  <w:style w:type="paragraph" w:styleId="73">
    <w:name w:val="No Spacing"/>
    <w:basedOn w:val="1"/>
    <w:next w:val="1"/>
    <w:qFormat/>
    <w:uiPriority w:val="1"/>
    <w:pPr>
      <w:ind w:firstLine="200" w:firstLineChars="200"/>
      <w:jc w:val="left"/>
    </w:pPr>
    <w:rPr>
      <w:rFonts w:eastAsia="仿宋_GB2312"/>
      <w:sz w:val="28"/>
    </w:rPr>
  </w:style>
  <w:style w:type="paragraph" w:customStyle="1" w:styleId="74">
    <w:name w:val="_Style 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3.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145</Pages>
  <Words>1362</Words>
  <Characters>1457</Characters>
  <Lines>424</Lines>
  <Paragraphs>119</Paragraphs>
  <TotalTime>38</TotalTime>
  <ScaleCrop>false</ScaleCrop>
  <LinksUpToDate>false</LinksUpToDate>
  <CharactersWithSpaces>1571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2020-08-21T18:50:00Z</dcterms:created>
  <dc:creator>zhuweiyu</dc:creator>
  <cp:lastModifiedBy>zhtwang</cp:lastModifiedBy>
  <cp:lastPrinted>2026-06-02T02:56:00Z</cp:lastPrinted>
  <dcterms:modified xsi:type="dcterms:W3CDTF">2026-06-09T15:48:48Z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83B3E7B21CD9004223C3276A4EB3BB34_43</vt:lpwstr>
  </property>
  <property fmtid="{D5CDD505-2E9C-101B-9397-08002B2CF9AE}" pid="4" name="KSOTemplateDocerSaveRecord">
    <vt:lpwstr>eyJoZGlkIjoiZmE3YWY2MmVhMTc2MmM2OWMyMjBhZjk0ZDUyZDUzNTIiLCJ1c2VySWQiOiI0MzYxNjg3MjYifQ==</vt:lpwstr>
  </property>
</Properties>
</file>